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76BD7" w14:textId="47D18AE9" w:rsidR="006F3400" w:rsidRDefault="00BF4C67" w:rsidP="006F3400">
      <w:pPr>
        <w:pStyle w:val="Heading1"/>
        <w:spacing w:before="480"/>
      </w:pPr>
      <w:r>
        <w:rPr>
          <w:b/>
          <w:bCs/>
          <w:sz w:val="28"/>
          <w:szCs w:val="28"/>
        </w:rPr>
        <w:t>05.</w:t>
      </w:r>
      <w:r w:rsidR="006F3400">
        <w:rPr>
          <w:b/>
          <w:bCs/>
          <w:sz w:val="28"/>
          <w:szCs w:val="28"/>
        </w:rPr>
        <w:t xml:space="preserve"> Preliminary Overall Audit Strategy</w:t>
      </w:r>
    </w:p>
    <w:p w14:paraId="5730F238" w14:textId="77777777" w:rsidR="006F3400" w:rsidRDefault="006F3400" w:rsidP="006F3400">
      <w:pPr>
        <w:spacing w:after="160"/>
      </w:pPr>
      <w:r>
        <w:t>Based on preliminary risk assessment, industry environment review, and initial client meetings, the following are the key focus areas:</w:t>
      </w:r>
    </w:p>
    <w:p w14:paraId="0BC92364" w14:textId="77777777" w:rsidR="006F3400" w:rsidRDefault="006F3400" w:rsidP="006F3400">
      <w:pPr>
        <w:pStyle w:val="Heading2"/>
      </w:pPr>
      <w:r>
        <w:rPr>
          <w:b/>
          <w:bCs/>
          <w:sz w:val="26"/>
          <w:szCs w:val="26"/>
        </w:rPr>
        <w:t>Standalone Financial Statements (SFS)</w:t>
      </w:r>
    </w:p>
    <w:p w14:paraId="3E5F6D06" w14:textId="77777777" w:rsidR="006F3400" w:rsidRDefault="006F3400" w:rsidP="006F3400">
      <w:pPr>
        <w:spacing w:after="160"/>
      </w:pPr>
      <w:r>
        <w:rPr>
          <w:i/>
          <w:iCs/>
          <w:color w:val="7A4E00"/>
          <w:shd w:val="solid" w:color="FFEB9C" w:fill="FFEB9C"/>
        </w:rPr>
        <w:t>[List key risk areas for SFS — e.g. decline in cost of materials, increase in warranty provisions, employee benefit restructuring]</w:t>
      </w:r>
    </w:p>
    <w:p w14:paraId="6DE653C5" w14:textId="77777777" w:rsidR="006F3400" w:rsidRDefault="006F3400" w:rsidP="006F3400">
      <w:pPr>
        <w:pStyle w:val="Heading2"/>
      </w:pPr>
      <w:r>
        <w:rPr>
          <w:b/>
          <w:bCs/>
          <w:sz w:val="26"/>
          <w:szCs w:val="26"/>
        </w:rPr>
        <w:t>Consolidated Financial Statements (CFS)</w:t>
      </w:r>
    </w:p>
    <w:p w14:paraId="3828AF8B" w14:textId="77777777" w:rsidR="006F3400" w:rsidRDefault="006F3400" w:rsidP="006F3400">
      <w:pPr>
        <w:spacing w:after="160"/>
      </w:pPr>
      <w:r>
        <w:rPr>
          <w:i/>
          <w:iCs/>
          <w:color w:val="7A4E00"/>
          <w:shd w:val="solid" w:color="FFEB9C" w:fill="FFEB9C"/>
        </w:rPr>
        <w:t>[List key risk areas for CFS — e.g. intangibles under development, warranty provisions at subsidiaries, business combination accounting]</w:t>
      </w:r>
    </w:p>
    <w:p w14:paraId="0BE32E75" w14:textId="77777777" w:rsidR="006F3400" w:rsidRDefault="006F3400" w:rsidP="006F3400">
      <w:pPr>
        <w:pStyle w:val="Heading2"/>
      </w:pPr>
      <w:r>
        <w:rPr>
          <w:b/>
          <w:bCs/>
          <w:sz w:val="26"/>
          <w:szCs w:val="26"/>
        </w:rPr>
        <w:t>Both SFS and CFS</w:t>
      </w:r>
    </w:p>
    <w:p w14:paraId="2579F282" w14:textId="77777777" w:rsidR="006F3400" w:rsidRDefault="006F3400" w:rsidP="006F3400">
      <w:pPr>
        <w:pStyle w:val="Heading3"/>
      </w:pPr>
      <w:r>
        <w:rPr>
          <w:b/>
          <w:bCs/>
          <w:sz w:val="24"/>
          <w:szCs w:val="24"/>
        </w:rPr>
        <w:t>Revenue Recognition and Cut-off</w:t>
      </w:r>
    </w:p>
    <w:p w14:paraId="52591AF3" w14:textId="77777777" w:rsidR="006F3400" w:rsidRDefault="006F3400" w:rsidP="006F3400">
      <w:pPr>
        <w:spacing w:after="160"/>
      </w:pPr>
      <w:r>
        <w:rPr>
          <w:i/>
          <w:iCs/>
          <w:color w:val="7A4E00"/>
          <w:shd w:val="solid" w:color="FFEB9C" w:fill="FFEB9C"/>
        </w:rPr>
        <w:t>[Describe the revenue recognition risks specific to this client — channels, bundled arrangements, cut-off]</w:t>
      </w:r>
    </w:p>
    <w:p w14:paraId="3F6BBF2F" w14:textId="77777777" w:rsidR="006F3400" w:rsidRDefault="006F3400" w:rsidP="006F3400">
      <w:pPr>
        <w:pStyle w:val="Heading3"/>
      </w:pPr>
      <w:r>
        <w:rPr>
          <w:b/>
          <w:bCs/>
          <w:sz w:val="24"/>
          <w:szCs w:val="24"/>
        </w:rPr>
        <w:t>Warranty Provisions</w:t>
      </w:r>
    </w:p>
    <w:p w14:paraId="23923EED" w14:textId="77777777" w:rsidR="006F3400" w:rsidRDefault="006F3400" w:rsidP="006F3400">
      <w:pPr>
        <w:spacing w:after="160"/>
      </w:pPr>
      <w:r>
        <w:rPr>
          <w:i/>
          <w:iCs/>
          <w:color w:val="7A4E00"/>
          <w:shd w:val="solid" w:color="FFEB9C" w:fill="FFEB9C"/>
        </w:rPr>
        <w:t>[Describe estimation uncertainty, management judgment assumptions, risk of manipulation]</w:t>
      </w:r>
    </w:p>
    <w:p w14:paraId="3C84BD33" w14:textId="77777777" w:rsidR="006F3400" w:rsidRDefault="006F3400" w:rsidP="006F3400">
      <w:pPr>
        <w:pStyle w:val="Heading3"/>
      </w:pPr>
      <w:r>
        <w:rPr>
          <w:b/>
          <w:bCs/>
          <w:sz w:val="24"/>
          <w:szCs w:val="24"/>
        </w:rPr>
        <w:t>IT General Controls and Internal Control Environment</w:t>
      </w:r>
    </w:p>
    <w:p w14:paraId="4B5B22B8" w14:textId="77777777" w:rsidR="006F3400" w:rsidRDefault="006F3400" w:rsidP="006F3400">
      <w:pPr>
        <w:spacing w:after="160"/>
      </w:pPr>
      <w:r>
        <w:rPr>
          <w:i/>
          <w:iCs/>
          <w:color w:val="7A4E00"/>
          <w:shd w:val="solid" w:color="FFEB9C" w:fill="FFEB9C"/>
        </w:rPr>
        <w:t>[Describe specific IT overhaul risks — scope of IS auditor's work, key systems affected]</w:t>
      </w:r>
    </w:p>
    <w:p w14:paraId="024FDAD8" w14:textId="77777777" w:rsidR="006F3400" w:rsidRDefault="006F3400" w:rsidP="006F3400">
      <w:pPr>
        <w:pStyle w:val="Heading3"/>
      </w:pPr>
      <w:r>
        <w:rPr>
          <w:b/>
          <w:bCs/>
          <w:sz w:val="24"/>
          <w:szCs w:val="24"/>
        </w:rPr>
        <w:t>Other Key Risk Areas</w:t>
      </w:r>
    </w:p>
    <w:p w14:paraId="4C8B3675" w14:textId="77777777" w:rsidR="006F3400" w:rsidRDefault="006F3400" w:rsidP="006F3400">
      <w:pPr>
        <w:spacing w:after="160"/>
      </w:pPr>
      <w:r>
        <w:rPr>
          <w:i/>
          <w:iCs/>
          <w:color w:val="7A4E00"/>
          <w:shd w:val="solid" w:color="FFEB9C" w:fill="FFEB9C"/>
        </w:rPr>
        <w:t>[Add any other significant or fraud risk areas identified — inventory obsolescence, impairment, management override, etc.]</w:t>
      </w:r>
    </w:p>
    <w:p w14:paraId="4CA680E2" w14:textId="77777777" w:rsidR="00500C9D" w:rsidRDefault="00500C9D"/>
    <w:sectPr w:rsidR="00500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420"/>
    <w:rsid w:val="003734BF"/>
    <w:rsid w:val="004C783D"/>
    <w:rsid w:val="00500C9D"/>
    <w:rsid w:val="006132D5"/>
    <w:rsid w:val="006F3400"/>
    <w:rsid w:val="00AA0420"/>
    <w:rsid w:val="00BB7475"/>
    <w:rsid w:val="00BF4C67"/>
    <w:rsid w:val="00D8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DC8B3"/>
  <w15:chartTrackingRefBased/>
  <w15:docId w15:val="{CCFE19DF-D95B-4BB3-8F8F-A70EC0B0D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400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42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42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042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42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42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42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42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42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42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0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4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0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42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0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42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0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42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0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Jayendra Danidhariya</dc:creator>
  <cp:keywords/>
  <dc:description/>
  <cp:lastModifiedBy>Jayendra Danidhariya</cp:lastModifiedBy>
  <cp:revision>3</cp:revision>
  <dcterms:created xsi:type="dcterms:W3CDTF">2026-02-14T05:52:00Z</dcterms:created>
  <dcterms:modified xsi:type="dcterms:W3CDTF">2026-02-14T08:47:00Z</dcterms:modified>
</cp:coreProperties>
</file>