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7D9D" w14:textId="39F65235" w:rsidR="00E629ED" w:rsidRDefault="00EB6C9D" w:rsidP="00E629ED">
      <w:pPr>
        <w:pStyle w:val="Heading1"/>
        <w:spacing w:before="480"/>
      </w:pPr>
      <w:r>
        <w:rPr>
          <w:b/>
          <w:bCs/>
          <w:sz w:val="28"/>
          <w:szCs w:val="28"/>
        </w:rPr>
        <w:t>09.</w:t>
      </w:r>
      <w:r w:rsidR="00E629ED">
        <w:rPr>
          <w:b/>
          <w:bCs/>
          <w:sz w:val="28"/>
          <w:szCs w:val="28"/>
        </w:rPr>
        <w:t xml:space="preserve"> Significant Accounting and Auditing Matters</w:t>
      </w:r>
    </w:p>
    <w:p w14:paraId="4BB5D9D5" w14:textId="77777777" w:rsidR="00E629ED" w:rsidRDefault="00E629ED" w:rsidP="00E629ED">
      <w:pPr>
        <w:spacing w:after="160"/>
      </w:pPr>
      <w:r>
        <w:t>Based on review of financial performance, material information disclosed to stock exchanges, and preliminary discussions with management, we have noted the following areas of significance.</w:t>
      </w:r>
    </w:p>
    <w:p w14:paraId="1A72AC81" w14:textId="77777777" w:rsidR="00E629ED" w:rsidRDefault="00E629ED" w:rsidP="00E629ED">
      <w:pPr>
        <w:pStyle w:val="Heading2"/>
      </w:pPr>
      <w:r>
        <w:rPr>
          <w:b/>
          <w:bCs/>
          <w:sz w:val="26"/>
          <w:szCs w:val="26"/>
        </w:rPr>
        <w:t>Standalone Financial Statements</w:t>
      </w:r>
    </w:p>
    <w:p w14:paraId="3C508876" w14:textId="77777777" w:rsidR="00E629ED" w:rsidRDefault="00E629ED" w:rsidP="00E629ED">
      <w:pPr>
        <w:pStyle w:val="Heading3"/>
      </w:pPr>
      <w:r>
        <w:rPr>
          <w:b/>
          <w:bCs/>
          <w:sz w:val="24"/>
          <w:szCs w:val="24"/>
        </w:rPr>
        <w:t>Employee Benefits</w:t>
      </w:r>
    </w:p>
    <w:p w14:paraId="788FE829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[Describe any significant employee benefit events — e.g. surrender/devolvement of EPF trust, actuarial obligations. Note the need for external actuarial expert.]</w:t>
      </w:r>
    </w:p>
    <w:p w14:paraId="43CA702B" w14:textId="77777777" w:rsidR="00E629ED" w:rsidRDefault="00E629ED" w:rsidP="00E629ED">
      <w:pPr>
        <w:pStyle w:val="Heading3"/>
      </w:pPr>
      <w:r>
        <w:rPr>
          <w:b/>
          <w:bCs/>
          <w:sz w:val="24"/>
          <w:szCs w:val="24"/>
        </w:rPr>
        <w:t>Business Restructuring</w:t>
      </w:r>
    </w:p>
    <w:p w14:paraId="483E0474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[Describe any restructuring, demerger, or disposal transactions during/after the year — regulatory approvals pending, accounting implications, assets/liabilities to be derecognised]</w:t>
      </w:r>
    </w:p>
    <w:p w14:paraId="0E3DA006" w14:textId="77777777" w:rsidR="00E629ED" w:rsidRDefault="00E629ED" w:rsidP="00E629ED">
      <w:pPr>
        <w:pStyle w:val="Heading2"/>
      </w:pPr>
      <w:r>
        <w:rPr>
          <w:b/>
          <w:bCs/>
          <w:sz w:val="26"/>
          <w:szCs w:val="26"/>
        </w:rPr>
        <w:t>Consolidated Financial Statements</w:t>
      </w:r>
    </w:p>
    <w:p w14:paraId="6D30BD66" w14:textId="77777777" w:rsidR="00E629ED" w:rsidRDefault="00E629ED" w:rsidP="00E629ED">
      <w:pPr>
        <w:pStyle w:val="Heading3"/>
      </w:pPr>
      <w:r>
        <w:rPr>
          <w:b/>
          <w:bCs/>
          <w:sz w:val="24"/>
          <w:szCs w:val="24"/>
        </w:rPr>
        <w:t>Intangible Assets Under Development</w:t>
      </w:r>
    </w:p>
    <w:p w14:paraId="01DEED3E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[Describe the significant amounts, Ind AS 36/38 implications, overseas subsidiary involvement, liaison with component auditors]</w:t>
      </w:r>
    </w:p>
    <w:p w14:paraId="60400850" w14:textId="77777777" w:rsidR="00E629ED" w:rsidRDefault="00E629ED" w:rsidP="00E629ED">
      <w:pPr>
        <w:pStyle w:val="Heading3"/>
      </w:pPr>
      <w:r>
        <w:rPr>
          <w:b/>
          <w:bCs/>
          <w:sz w:val="24"/>
          <w:szCs w:val="24"/>
        </w:rPr>
        <w:t>Business Combination</w:t>
      </w:r>
    </w:p>
    <w:p w14:paraId="138BC606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[Describe any planned acquisition — method of accounting (Ind AS 103), need for fair value expert, expected timing]</w:t>
      </w:r>
    </w:p>
    <w:p w14:paraId="7438A04E" w14:textId="77777777" w:rsidR="00E629ED" w:rsidRDefault="00E629ED" w:rsidP="00E629ED">
      <w:pPr>
        <w:pStyle w:val="Heading3"/>
      </w:pPr>
      <w:r>
        <w:rPr>
          <w:b/>
          <w:bCs/>
          <w:sz w:val="24"/>
          <w:szCs w:val="24"/>
        </w:rPr>
        <w:t>Warranty Provisions</w:t>
      </w:r>
    </w:p>
    <w:p w14:paraId="3B6ABF28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[Describe significant increase in warranty provisions — reason (extended warranties, change in accrual method), involvement of actuaries/experts]</w:t>
      </w:r>
    </w:p>
    <w:p w14:paraId="09342DE3" w14:textId="77777777" w:rsidR="00E629ED" w:rsidRDefault="00E629ED" w:rsidP="00E629ED">
      <w:pPr>
        <w:pStyle w:val="Heading3"/>
      </w:pPr>
      <w:r>
        <w:rPr>
          <w:b/>
          <w:bCs/>
          <w:sz w:val="24"/>
          <w:szCs w:val="24"/>
        </w:rPr>
        <w:t>Expected Credit Loss (ECL) for Subsidiary Loans</w:t>
      </w:r>
    </w:p>
    <w:p w14:paraId="31D11477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[Describe credit quality deterioration in loan portfolio, regulator inspection findings, working with subsidiary auditor on ECL under Ind AS 109]</w:t>
      </w:r>
    </w:p>
    <w:p w14:paraId="3D0AD925" w14:textId="77777777" w:rsidR="00E629ED" w:rsidRDefault="00E629ED" w:rsidP="00E629ED">
      <w:pPr>
        <w:pStyle w:val="Heading2"/>
      </w:pPr>
      <w:r>
        <w:rPr>
          <w:b/>
          <w:bCs/>
          <w:sz w:val="26"/>
          <w:szCs w:val="26"/>
        </w:rPr>
        <w:t>Significant Areas Due to Inherent Industry Risk</w:t>
      </w:r>
    </w:p>
    <w:p w14:paraId="643937F5" w14:textId="77777777" w:rsidR="00E629ED" w:rsidRDefault="00E629ED" w:rsidP="00E629ED">
      <w:pPr>
        <w:spacing w:after="160"/>
      </w:pPr>
      <w:r>
        <w:t xml:space="preserve">• </w:t>
      </w:r>
      <w:r>
        <w:rPr>
          <w:i/>
          <w:iCs/>
          <w:color w:val="7A4E00"/>
          <w:shd w:val="solid" w:color="FFEB9C" w:fill="FFEB9C"/>
        </w:rPr>
        <w:t>[Revenue recognition]</w:t>
      </w:r>
      <w:r>
        <w:t xml:space="preserve"> — multiple channels, bundled arrangements, SA 115 considerations</w:t>
      </w:r>
    </w:p>
    <w:p w14:paraId="022491D7" w14:textId="77777777" w:rsidR="00E629ED" w:rsidRDefault="00E629ED" w:rsidP="00E629ED">
      <w:pPr>
        <w:spacing w:after="160"/>
      </w:pPr>
      <w:r>
        <w:t xml:space="preserve">• </w:t>
      </w:r>
      <w:r>
        <w:rPr>
          <w:i/>
          <w:iCs/>
          <w:color w:val="7A4E00"/>
          <w:shd w:val="solid" w:color="FFEB9C" w:fill="FFEB9C"/>
        </w:rPr>
        <w:t>[Inventory valuation]</w:t>
      </w:r>
      <w:r>
        <w:t xml:space="preserve"> — costing methodology, overhead absorption, obsolescence</w:t>
      </w:r>
    </w:p>
    <w:p w14:paraId="4FFBA4CB" w14:textId="77777777" w:rsidR="00E629ED" w:rsidRDefault="00E629ED" w:rsidP="00E629ED">
      <w:pPr>
        <w:spacing w:after="160"/>
      </w:pPr>
      <w:r>
        <w:t xml:space="preserve">• </w:t>
      </w:r>
      <w:r>
        <w:rPr>
          <w:i/>
          <w:iCs/>
          <w:color w:val="7A4E00"/>
          <w:shd w:val="solid" w:color="FFEB9C" w:fill="FFEB9C"/>
        </w:rPr>
        <w:t>[Impairment of PPE / intangibles / goodwill]</w:t>
      </w:r>
      <w:r>
        <w:t xml:space="preserve"> — cash flow forecasts, discount rates</w:t>
      </w:r>
    </w:p>
    <w:p w14:paraId="03EDE8BA" w14:textId="77777777" w:rsidR="00E629ED" w:rsidRDefault="00E629ED" w:rsidP="00E629ED">
      <w:pPr>
        <w:spacing w:after="160"/>
      </w:pPr>
      <w:r>
        <w:t xml:space="preserve">• </w:t>
      </w:r>
      <w:r>
        <w:rPr>
          <w:i/>
          <w:iCs/>
          <w:color w:val="7A4E00"/>
          <w:shd w:val="solid" w:color="FFEB9C" w:fill="FFEB9C"/>
        </w:rPr>
        <w:t>[ESG/Environmental obligations]</w:t>
      </w:r>
      <w:r>
        <w:t xml:space="preserve"> — EPR norms, climate commitments, provisions &amp; contingencies</w:t>
      </w:r>
    </w:p>
    <w:p w14:paraId="5905DE0B" w14:textId="77777777" w:rsidR="00E629ED" w:rsidRDefault="00E629ED" w:rsidP="00E629ED">
      <w:pPr>
        <w:pStyle w:val="Heading2"/>
      </w:pPr>
      <w:r>
        <w:rPr>
          <w:b/>
          <w:bCs/>
          <w:sz w:val="26"/>
          <w:szCs w:val="26"/>
        </w:rPr>
        <w:t>New Accounting Developments</w:t>
      </w:r>
    </w:p>
    <w:p w14:paraId="512427DC" w14:textId="77777777" w:rsidR="00E629E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[List relevant Ind AS amendments notified by MCA and NFRA circulars applicable to this client for the current year]</w:t>
      </w:r>
    </w:p>
    <w:p w14:paraId="7319F0EB" w14:textId="77777777" w:rsidR="00E629ED" w:rsidRDefault="00E629ED" w:rsidP="00E629ED">
      <w:pPr>
        <w:pStyle w:val="Heading2"/>
      </w:pPr>
      <w:r>
        <w:rPr>
          <w:b/>
          <w:bCs/>
          <w:sz w:val="26"/>
          <w:szCs w:val="26"/>
        </w:rPr>
        <w:t>New Auditing Developments</w:t>
      </w:r>
    </w:p>
    <w:p w14:paraId="4C89A2FF" w14:textId="18E55C8E" w:rsidR="00500C9D" w:rsidRDefault="00E629ED" w:rsidP="00E629ED">
      <w:pPr>
        <w:spacing w:after="160"/>
      </w:pPr>
      <w:r>
        <w:rPr>
          <w:i/>
          <w:iCs/>
          <w:color w:val="7A4E00"/>
          <w:shd w:val="solid" w:color="FFEB9C" w:fill="FFEB9C"/>
        </w:rPr>
        <w:t>[Note relevant SA revisions or NFRA clarificatory circulars applicable — e.g. SA 315, group audit circular, fraud reporting circular]</w:t>
      </w:r>
    </w:p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C0"/>
    <w:rsid w:val="003B3573"/>
    <w:rsid w:val="003C668F"/>
    <w:rsid w:val="003E26C0"/>
    <w:rsid w:val="004C783D"/>
    <w:rsid w:val="00500C9D"/>
    <w:rsid w:val="006132D5"/>
    <w:rsid w:val="00BB7475"/>
    <w:rsid w:val="00D85657"/>
    <w:rsid w:val="00E629ED"/>
    <w:rsid w:val="00E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8EE2"/>
  <w15:chartTrackingRefBased/>
  <w15:docId w15:val="{C9B668E9-0028-494F-9F8A-27A944D0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9ED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6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6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6C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C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C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C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C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C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C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C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C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2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2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7</cp:revision>
  <dcterms:created xsi:type="dcterms:W3CDTF">2026-02-14T05:49:00Z</dcterms:created>
  <dcterms:modified xsi:type="dcterms:W3CDTF">2026-02-14T08:48:00Z</dcterms:modified>
</cp:coreProperties>
</file>