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B5C3" w14:textId="06F5BBD1" w:rsidR="001F3EF5" w:rsidRDefault="00546126" w:rsidP="001F3EF5">
      <w:pPr>
        <w:pStyle w:val="Heading1"/>
        <w:spacing w:before="480"/>
      </w:pPr>
      <w:r>
        <w:rPr>
          <w:b/>
          <w:bCs/>
          <w:sz w:val="28"/>
          <w:szCs w:val="28"/>
        </w:rPr>
        <w:t>1</w:t>
      </w:r>
      <w:r w:rsidR="00891099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.</w:t>
      </w:r>
      <w:r w:rsidR="001F3EF5">
        <w:rPr>
          <w:b/>
          <w:bCs/>
          <w:sz w:val="28"/>
          <w:szCs w:val="28"/>
        </w:rPr>
        <w:t xml:space="preserve"> Involvement of Internal Auditor, IS Auditor and Other Specialists</w:t>
      </w:r>
    </w:p>
    <w:p w14:paraId="662AB255" w14:textId="77777777" w:rsidR="001F3EF5" w:rsidRDefault="001F3EF5" w:rsidP="001F3EF5">
      <w:pPr>
        <w:pStyle w:val="Heading2"/>
      </w:pPr>
      <w:r>
        <w:rPr>
          <w:b/>
          <w:bCs/>
          <w:sz w:val="26"/>
          <w:szCs w:val="26"/>
        </w:rPr>
        <w:t>Internal Audit Department (IAD)</w:t>
      </w:r>
    </w:p>
    <w:p w14:paraId="0F086570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IAD capacity, scope, reporting lines. Explain basis for whether direct assistance will/will not be used under SA 610(R) and CA 2013 s.144]</w:t>
      </w:r>
    </w:p>
    <w:p w14:paraId="50282525" w14:textId="77777777" w:rsidR="001F3EF5" w:rsidRDefault="001F3EF5" w:rsidP="001F3EF5">
      <w:pPr>
        <w:spacing w:after="160"/>
      </w:pPr>
      <w:r>
        <w:t xml:space="preserve">We will </w:t>
      </w:r>
      <w:r>
        <w:rPr>
          <w:i/>
          <w:iCs/>
          <w:color w:val="7A4E00"/>
          <w:shd w:val="solid" w:color="FFEB9C" w:fill="FFEB9C"/>
        </w:rPr>
        <w:t>[use / not use]</w:t>
      </w:r>
      <w:r>
        <w:t xml:space="preserve"> direct assistance of the IAD. We will consider IAD findings in relation to critical internal control activities.</w:t>
      </w:r>
    </w:p>
    <w:p w14:paraId="2F25E3C5" w14:textId="77777777" w:rsidR="001F3EF5" w:rsidRDefault="001F3EF5" w:rsidP="001F3EF5">
      <w:pPr>
        <w:spacing w:after="160"/>
      </w:pPr>
      <w:r>
        <w:t xml:space="preserve">Specific IAD reports we will review: </w:t>
      </w:r>
      <w:r>
        <w:rPr>
          <w:i/>
          <w:iCs/>
          <w:color w:val="7A4E00"/>
          <w:shd w:val="solid" w:color="FFEB9C" w:fill="FFEB9C"/>
        </w:rPr>
        <w:t>[e.g. IT post-implementation review, intangible asset project controls, operational efficiency review]</w:t>
      </w:r>
    </w:p>
    <w:p w14:paraId="5B9FC28C" w14:textId="77777777" w:rsidR="001F3EF5" w:rsidRDefault="001F3EF5" w:rsidP="001F3EF5">
      <w:pPr>
        <w:pStyle w:val="Heading2"/>
      </w:pPr>
      <w:r>
        <w:rPr>
          <w:b/>
          <w:bCs/>
          <w:sz w:val="26"/>
          <w:szCs w:val="26"/>
        </w:rPr>
        <w:t>Risk Management Department (RMD)</w:t>
      </w:r>
    </w:p>
    <w:p w14:paraId="1AF767BA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RMD's involvement in areas relevant to audit — IT system overhaul, NBFC credit risk remediation, etc.]</w:t>
      </w:r>
    </w:p>
    <w:p w14:paraId="20530F82" w14:textId="77777777" w:rsidR="001F3EF5" w:rsidRDefault="001F3EF5" w:rsidP="001F3EF5">
      <w:pPr>
        <w:pStyle w:val="Heading2"/>
      </w:pPr>
      <w:r>
        <w:rPr>
          <w:b/>
          <w:bCs/>
          <w:sz w:val="26"/>
          <w:szCs w:val="26"/>
        </w:rPr>
        <w:t>Information System (IS) Auditors</w:t>
      </w:r>
    </w:p>
    <w:p w14:paraId="2D86A5E6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IS auditor's scope — General IT Controls, application controls, data migration testing, system-generated reports, automated interfaces]</w:t>
      </w:r>
    </w:p>
    <w:p w14:paraId="219740D3" w14:textId="77777777" w:rsidR="001F3EF5" w:rsidRDefault="001F3EF5" w:rsidP="001F3EF5">
      <w:pPr>
        <w:pStyle w:val="Heading2"/>
      </w:pPr>
      <w:r>
        <w:rPr>
          <w:b/>
          <w:bCs/>
          <w:sz w:val="26"/>
          <w:szCs w:val="26"/>
        </w:rPr>
        <w:t>Other Specialists</w:t>
      </w:r>
    </w:p>
    <w:p w14:paraId="429E9114" w14:textId="77777777" w:rsidR="001F3EF5" w:rsidRDefault="001F3EF5" w:rsidP="001F3EF5">
      <w:pPr>
        <w:pStyle w:val="Heading3"/>
      </w:pPr>
      <w:r>
        <w:rPr>
          <w:b/>
          <w:bCs/>
          <w:sz w:val="24"/>
          <w:szCs w:val="24"/>
        </w:rPr>
        <w:t>Actuaries</w:t>
      </w:r>
    </w:p>
    <w:p w14:paraId="58308F78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which actuarial valuations are relevant — EPF obligations, employee benefits at subsidiaries. Specify whether in-house or external]</w:t>
      </w:r>
    </w:p>
    <w:p w14:paraId="59FCDB50" w14:textId="77777777" w:rsidR="001F3EF5" w:rsidRDefault="001F3EF5" w:rsidP="001F3EF5">
      <w:pPr>
        <w:pStyle w:val="Heading3"/>
      </w:pPr>
      <w:r>
        <w:rPr>
          <w:b/>
          <w:bCs/>
          <w:sz w:val="24"/>
          <w:szCs w:val="24"/>
        </w:rPr>
        <w:t>Valuation Experts</w:t>
      </w:r>
    </w:p>
    <w:p w14:paraId="54767B68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valuation needs — impairment of intangibles (value-in-use), fair value of assets/liabilities in business combination]</w:t>
      </w:r>
    </w:p>
    <w:p w14:paraId="60691B79" w14:textId="77777777" w:rsidR="001F3EF5" w:rsidRDefault="001F3EF5" w:rsidP="001F3EF5">
      <w:pPr>
        <w:pStyle w:val="Heading3"/>
      </w:pPr>
      <w:r>
        <w:rPr>
          <w:b/>
          <w:bCs/>
          <w:sz w:val="24"/>
          <w:szCs w:val="24"/>
        </w:rPr>
        <w:t>Income Tax / Transfer Pricing Experts</w:t>
      </w:r>
    </w:p>
    <w:p w14:paraId="3B4FD0DE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intra-group transactions subject to transfer pricing, Pillar 2 international tax reform implications, in-house vs external experts]</w:t>
      </w:r>
    </w:p>
    <w:p w14:paraId="000C9B4F" w14:textId="77777777" w:rsidR="001F3EF5" w:rsidRDefault="001F3EF5" w:rsidP="001F3EF5">
      <w:pPr>
        <w:pStyle w:val="Heading3"/>
      </w:pPr>
      <w:r>
        <w:rPr>
          <w:b/>
          <w:bCs/>
          <w:sz w:val="24"/>
          <w:szCs w:val="24"/>
        </w:rPr>
        <w:t>Environmental Law Experts</w:t>
      </w:r>
    </w:p>
    <w:p w14:paraId="7EAEE430" w14:textId="77777777" w:rsidR="001F3EF5" w:rsidRDefault="001F3EF5" w:rsidP="001F3EF5">
      <w:pPr>
        <w:spacing w:after="160"/>
      </w:pPr>
      <w:r>
        <w:rPr>
          <w:i/>
          <w:iCs/>
          <w:color w:val="7A4E00"/>
          <w:shd w:val="solid" w:color="FFEB9C" w:fill="FFEB9C"/>
        </w:rPr>
        <w:t>[Describe EPR and climate risk legal obligations, coordination needed with overseas subsidiary auditors]</w:t>
      </w:r>
    </w:p>
    <w:p w14:paraId="0F63E3D6" w14:textId="77777777" w:rsidR="00500C9D" w:rsidRDefault="00500C9D"/>
    <w:sectPr w:rsidR="00500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2C"/>
    <w:rsid w:val="001F3EF5"/>
    <w:rsid w:val="0028542C"/>
    <w:rsid w:val="00481229"/>
    <w:rsid w:val="004C783D"/>
    <w:rsid w:val="00500C9D"/>
    <w:rsid w:val="00546126"/>
    <w:rsid w:val="006132D5"/>
    <w:rsid w:val="00891099"/>
    <w:rsid w:val="00A15866"/>
    <w:rsid w:val="00BB7475"/>
    <w:rsid w:val="00D8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209A6"/>
  <w15:chartTrackingRefBased/>
  <w15:docId w15:val="{8FE6EBDC-10B0-408E-85A6-3DD2A3A4C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F5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42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42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42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2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2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2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2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2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2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2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2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2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Danidhariya</dc:creator>
  <cp:keywords/>
  <dc:description/>
  <cp:lastModifiedBy>Jayendra Danidhariya</cp:lastModifiedBy>
  <cp:revision>4</cp:revision>
  <dcterms:created xsi:type="dcterms:W3CDTF">2026-02-14T05:50:00Z</dcterms:created>
  <dcterms:modified xsi:type="dcterms:W3CDTF">2026-02-14T08:49:00Z</dcterms:modified>
</cp:coreProperties>
</file>