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37"/>
        <w:gridCol w:w="4637"/>
      </w:tblGrid>
      <w:tr>
        <w:tc>
          <w:tcPr>
            <w:tcW w:type="dxa" w:w="3744"/>
          </w:tcPr>
          <w:p>
            <w:pPr>
              <w:spacing w:after="20" w:line="240" w:lineRule="auto"/>
              <w:jc w:val="center"/>
            </w:pPr>
            <w:r>
              <w:rPr>
                <w:b/>
                <w:sz w:val="24"/>
              </w:rPr>
              <w:t>THỦ TƯỚNG CHÍNH PHỦ</w:t>
            </w:r>
          </w:p>
          <w:p>
            <w:pPr>
              <w:spacing w:after="80"/>
              <w:jc w:val="center"/>
            </w:pPr>
            <w:r>
              <w:rPr>
                <w:b/>
                <w:sz w:val="16"/>
              </w:rPr>
              <w:t>———————</w:t>
            </w:r>
          </w:p>
          <w:p>
            <w:pPr>
              <w:spacing w:after="80"/>
              <w:jc w:val="center"/>
            </w:pPr>
            <w:r>
              <w:rPr>
                <w:sz w:val="24"/>
              </w:rPr>
              <w:t>Số: 88/CĐ-TTg</w:t>
            </w:r>
          </w:p>
          <w:p>
            <w:pPr>
              <w:spacing w:after="0"/>
              <w:jc w:val="center"/>
            </w:pPr>
            <w:r>
              <w:rPr>
                <w:b/>
                <w:sz w:val="22"/>
              </w:rPr>
              <w:t>HỎA TỐC</w:t>
            </w:r>
          </w:p>
        </w:tc>
        <w:tc>
          <w:tcPr>
            <w:tcW w:type="dxa" w:w="5472"/>
          </w:tcPr>
          <w:p>
            <w:pPr>
              <w:spacing w:after="20" w:line="240" w:lineRule="auto"/>
              <w:jc w:val="center"/>
            </w:pPr>
            <w:r>
              <w:rPr>
                <w:b/>
                <w:sz w:val="24"/>
              </w:rPr>
              <w:t>CỘNG HÒA XÃ HỘI CHỦ NGHĨA VIỆT NAM</w:t>
            </w:r>
          </w:p>
          <w:p>
            <w:pPr>
              <w:spacing w:after="40"/>
              <w:jc w:val="center"/>
            </w:pPr>
            <w:r>
              <w:rPr>
                <w:b/>
                <w:sz w:val="25"/>
              </w:rPr>
              <w:t>Độc lập - Tự do - Hạnh phúc</w:t>
            </w:r>
          </w:p>
          <w:p>
            <w:pPr>
              <w:spacing w:after="120"/>
              <w:jc w:val="center"/>
            </w:pPr>
            <w:r>
              <w:rPr>
                <w:b/>
                <w:sz w:val="16"/>
              </w:rPr>
              <w:t>—————————————</w:t>
            </w:r>
          </w:p>
          <w:p>
            <w:pPr>
              <w:spacing w:after="0"/>
              <w:jc w:val="center"/>
            </w:pPr>
            <w:r>
              <w:rPr>
                <w:i/>
                <w:sz w:val="24"/>
              </w:rPr>
              <w:t>Hà Nội, hồi 14 giờ 00 ngày 05 tháng 9 năm 2024</w:t>
            </w:r>
          </w:p>
        </w:tc>
      </w:tr>
    </w:tbl>
    <w:p>
      <w:pPr>
        <w:spacing w:after="40"/>
      </w:pPr>
    </w:p>
    <w:p>
      <w:pPr>
        <w:spacing w:before="120" w:after="80"/>
        <w:jc w:val="center"/>
      </w:pPr>
      <w:r>
        <w:rPr>
          <w:b/>
          <w:sz w:val="28"/>
        </w:rPr>
        <w:t>CÔNG ĐIỆN</w:t>
      </w:r>
    </w:p>
    <w:p>
      <w:pPr>
        <w:spacing w:after="80" w:line="276" w:lineRule="auto"/>
        <w:jc w:val="center"/>
      </w:pPr>
      <w:r>
        <w:rPr>
          <w:b/>
          <w:sz w:val="26"/>
        </w:rPr>
        <w:t>Về việc tập trung ứng phó khẩn cấp với siêu bão số 3 (bão YAGI)</w:t>
        <w:br/>
        <w:t>và mưa lũ sau bão</w:t>
      </w:r>
    </w:p>
    <w:p>
      <w:pPr>
        <w:spacing w:after="200"/>
        <w:jc w:val="center"/>
      </w:pPr>
      <w:r>
        <w:rPr>
          <w:b/>
          <w:sz w:val="16"/>
        </w:rPr>
        <w:t>——————————</w:t>
      </w:r>
    </w:p>
    <w:p>
      <w:pPr>
        <w:spacing w:after="80"/>
      </w:pPr>
      <w:r>
        <w:rPr>
          <w:b/>
          <w:sz w:val="26"/>
        </w:rPr>
        <w:t>THỦ TƯỚNG CHÍNH PHỦ điện:</w:t>
      </w:r>
    </w:p>
    <w:p>
      <w:pPr>
        <w:spacing w:after="40" w:line="264" w:lineRule="auto"/>
        <w:ind w:left="432"/>
      </w:pPr>
      <w:r>
        <w:rPr>
          <w:b/>
          <w:sz w:val="24"/>
        </w:rPr>
        <w:t>- Bộ trưởng các Bộ: Quốc phòng, Công an, Nông nghiệp và Phát triển nông thôn, Giao thông vận tải, Công Thương, Y tế, Tài chính, Tài nguyên và Môi trường;</w:t>
      </w:r>
    </w:p>
    <w:p>
      <w:pPr>
        <w:spacing w:after="40" w:line="264" w:lineRule="auto"/>
        <w:ind w:left="432"/>
      </w:pPr>
      <w:r>
        <w:rPr>
          <w:b/>
          <w:sz w:val="24"/>
        </w:rPr>
        <w:t>- Chủ tịch Ủy ban nhân dân các tỉnh, thành phố ven biển: Quảng Ninh, Hải Phòng, Thái Bình, Nam Định, Ninh Bình, Thanh Hóa, Nghệ An, Hà Tĩnh.</w:t>
      </w:r>
    </w:p>
    <w:p>
      <w:pPr>
        <w:spacing w:before="120" w:after="120" w:line="288" w:lineRule="auto"/>
        <w:ind w:firstLine="576"/>
        <w:jc w:val="both"/>
      </w:pPr>
      <w:r>
        <w:t>Hồi 13 giờ ngày 05 tháng 9 năm 2024, siêu bão số 3 duy trì sức gió mạnh cấp 16, giật trên cấp 17, đang di chuyển nhanh hướng về vùng biển và đất liền các tỉnh Bắc Bộ. Đây là cơn bão có cường độ mạnh nhất trong nhiều năm qua, nguy cơ rất cao gây mưa lũ lịch sử, ngập úng diện rộng và lũ ống, lũ quét, sạt lở đất nghiêm trọng. Để chủ động bảo vệ an toàn tính mạng của Nhân dân, hạn chế thấp nhất thiệt hại về tài sản, Thủ tướng Chính phủ yêu cầu:</w:t>
      </w:r>
    </w:p>
    <w:p>
      <w:pPr>
        <w:spacing w:after="60" w:line="276" w:lineRule="auto"/>
        <w:ind w:firstLine="576"/>
        <w:jc w:val="both"/>
      </w:pPr>
      <w:r>
        <w:rPr>
          <w:b/>
        </w:rPr>
        <w:t>1. Chủ tịch Ủy ban nhân dân các tỉnh, thành phố trực thuộc Trung ương liên quan:</w:t>
      </w:r>
    </w:p>
    <w:p>
      <w:pPr>
        <w:spacing w:after="80" w:line="276" w:lineRule="auto"/>
        <w:ind w:firstLine="576"/>
        <w:jc w:val="both"/>
      </w:pPr>
      <w:r>
        <w:t>a) Tạm hoãn tất cả các cuộc họp chưa thật sự cấp bách để tập trung toàn bộ lực lượng, trí tuệ chỉ đạo công tác phòng chống bão và bảo đảm an toàn tính mạng nhân dân;</w:t>
      </w:r>
    </w:p>
    <w:p>
      <w:pPr>
        <w:spacing w:after="80" w:line="276" w:lineRule="auto"/>
        <w:ind w:firstLine="576"/>
        <w:jc w:val="both"/>
      </w:pPr>
      <w:r>
        <w:t>b) Ban hành lệnh cấm biển từ 17 giờ 00 ngày 05 tháng 9 năm 2024 đối với toàn bộ tàu thuyền, phương tiện ra khơi; kiểm đếm, kêu gọi toàn bộ tàu thuyền đang hoạt động trên biển về nơi neo đậu an toàn trước 20 giờ 00 cùng ngày;</w:t>
      </w:r>
    </w:p>
    <w:p>
      <w:pPr>
        <w:spacing w:after="80" w:line="276" w:lineRule="auto"/>
        <w:ind w:firstLine="576"/>
        <w:jc w:val="both"/>
      </w:pPr>
      <w:r>
        <w:t>c) Kiên quyết hoàn thành việc sơ tán 100% người dân tại các chòi canh nuôi trồng thủy sản, tàu bè và nhà yếu có nguy cơ sập đổ trước 12 giờ 00 ngày 06 tháng 9 năm 2024; Chủ tịch UBND tỉnh, thành phố chịu trách nhiệm toàn diện trước Thủ tướng Chính phủ nếu để xảy ra chết người do tư tưởng chủ quan, lơ là.</w:t>
      </w:r>
    </w:p>
    <w:p>
      <w:pPr>
        <w:spacing w:after="60" w:line="276" w:lineRule="auto"/>
        <w:ind w:firstLine="576"/>
        <w:jc w:val="both"/>
      </w:pPr>
      <w:r>
        <w:rPr>
          <w:b/>
        </w:rPr>
        <w:t>2. Bộ trưởng Bộ Quốc phòng, Bộ trưởng Bộ Công an:</w:t>
      </w:r>
    </w:p>
    <w:p>
      <w:pPr>
        <w:spacing w:after="80" w:line="276" w:lineRule="auto"/>
        <w:ind w:firstLine="576"/>
        <w:jc w:val="both"/>
      </w:pPr>
      <w:r>
        <w:t>Chỉ đạo Quân khu 1, Quân khu 2, Quân khu 3 và các lực lượng vũ trang đóng quân trên địa bàn duy trì trực chiến 100% quân số; sẵn sàng điều động máy bay trực thăng, xe lội nước, xuồng cao tốc chi viện ứng cứu đê điều, cứu hộ cứu nạn theo phương châm '4 tại chỗ'.</w:t>
      </w:r>
    </w:p>
    <w:p>
      <w:pPr>
        <w:spacing w:after="60" w:line="276" w:lineRule="auto"/>
        <w:ind w:firstLine="576"/>
        <w:jc w:val="both"/>
      </w:pPr>
      <w:r>
        <w:rPr>
          <w:b/>
        </w:rPr>
        <w:t>3. Bộ Nông nghiệp và Phát triển nông thôn, Bộ Công Thương:</w:t>
      </w:r>
    </w:p>
    <w:p>
      <w:pPr>
        <w:spacing w:after="80" w:line="276" w:lineRule="auto"/>
        <w:ind w:firstLine="576"/>
        <w:jc w:val="both"/>
      </w:pPr>
      <w:r>
        <w:t>Chỉ đạo kiểm tra đê điều, các hồ chứa thủy lợi và thủy điện lớn (Hòa Bình, Sơn La, Thác Bà); chủ động xả lũ hạ mực nước đón lũ theo đúng quy trình; tuyệt đối không để xảy ra sự cố vỡ đập bất ngờ gây thảm họa hạ du.</w:t>
      </w:r>
    </w:p>
    <w:p>
      <w:pPr>
        <w:spacing w:after="60" w:line="276" w:lineRule="auto"/>
        <w:ind w:firstLine="576"/>
        <w:jc w:val="both"/>
      </w:pPr>
      <w:r>
        <w:rPr>
          <w:b/>
        </w:rPr>
        <w:t>4. Chế độ trực ban và thông tin báo cáo:</w:t>
      </w:r>
    </w:p>
    <w:p>
      <w:pPr>
        <w:spacing w:after="80" w:line="276" w:lineRule="auto"/>
        <w:ind w:firstLine="576"/>
        <w:jc w:val="both"/>
      </w:pPr>
      <w:r>
        <w:t>Các Bộ, ngành, địa phương tổ chức trực ban 24/24 giờ; định kỳ 3 giờ một lần báo cáo tình hình về Ban Chỉ đạo Quốc gia về Phòng, chống thiên tai và Văn phòng Chính phủ để tổng hợp báo cáo Thủ tướng Chính phủ chỉ đạo kịp thời.</w:t>
      </w:r>
    </w:p>
    <w:p>
      <w:pPr>
        <w:spacing w:after="8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37"/>
        <w:gridCol w:w="4637"/>
      </w:tblGrid>
      <w:tr>
        <w:tc>
          <w:tcPr>
            <w:tcW w:type="dxa" w:w="3744"/>
          </w:tcPr>
          <w:p>
            <w:pPr>
              <w:spacing w:after="40"/>
            </w:pPr>
            <w:r>
              <w:rPr>
                <w:b/>
                <w:i/>
                <w:sz w:val="22"/>
              </w:rPr>
              <w:t>Nơi nhận:</w:t>
            </w:r>
          </w:p>
          <w:p>
            <w:pPr>
              <w:spacing w:after="20" w:line="240" w:lineRule="auto"/>
            </w:pPr>
            <w:r>
              <w:rPr>
                <w:sz w:val="20"/>
              </w:rPr>
              <w:t>- Như trên;</w:t>
            </w:r>
          </w:p>
          <w:p>
            <w:pPr>
              <w:spacing w:after="20" w:line="240" w:lineRule="auto"/>
            </w:pPr>
            <w:r>
              <w:rPr>
                <w:sz w:val="20"/>
              </w:rPr>
              <w:t>- Ban Bí thư Trung ương Đảng;</w:t>
            </w:r>
          </w:p>
          <w:p>
            <w:pPr>
              <w:spacing w:after="20" w:line="240" w:lineRule="auto"/>
            </w:pPr>
            <w:r>
              <w:rPr>
                <w:sz w:val="20"/>
              </w:rPr>
              <w:t>- Thủ tướng, các Phó Thủ tướng CP;</w:t>
            </w:r>
          </w:p>
          <w:p>
            <w:pPr>
              <w:spacing w:after="20" w:line="240" w:lineRule="auto"/>
            </w:pPr>
            <w:r>
              <w:rPr>
                <w:sz w:val="20"/>
              </w:rPr>
              <w:t>- Ban Chỉ đạo Quốc gia về PCTT;</w:t>
            </w:r>
          </w:p>
          <w:p>
            <w:pPr>
              <w:spacing w:after="20" w:line="240" w:lineRule="auto"/>
            </w:pPr>
            <w:r>
              <w:rPr>
                <w:sz w:val="20"/>
              </w:rPr>
              <w:t>- Trung tâm Báo chí Quốc gia (đưa tin);</w:t>
            </w:r>
          </w:p>
          <w:p>
            <w:pPr>
              <w:spacing w:after="20" w:line="240" w:lineRule="auto"/>
            </w:pPr>
            <w:r>
              <w:rPr>
                <w:sz w:val="20"/>
              </w:rPr>
              <w:t>- Lưu: VT, NN (3b).</w:t>
            </w:r>
          </w:p>
        </w:tc>
        <w:tc>
          <w:tcPr>
            <w:tcW w:type="dxa" w:w="5472"/>
          </w:tcPr>
          <w:p>
            <w:pPr>
              <w:spacing w:after="40"/>
              <w:jc w:val="center"/>
            </w:pPr>
            <w:r>
              <w:rPr>
                <w:b/>
                <w:sz w:val="26"/>
              </w:rPr>
              <w:t>THỦ TƯỚNG</w:t>
            </w:r>
          </w:p>
          <w:p>
            <w:pPr>
              <w:spacing w:after="900"/>
              <w:jc w:val="center"/>
            </w:pPr>
          </w:p>
          <w:p>
            <w:pPr>
              <w:spacing w:after="0"/>
              <w:jc w:val="center"/>
            </w:pPr>
            <w:r>
              <w:rPr>
                <w:b/>
                <w:sz w:val="26"/>
              </w:rPr>
              <w:t>Phạm Minh Chính</w:t>
            </w:r>
          </w:p>
        </w:tc>
      </w:tr>
    </w:tbl>
    <w:sectPr w:rsidR="00FC693F" w:rsidRPr="0006063C" w:rsidSect="00034616">
      <w:pgSz w:w="11909" w:h="16834"/>
      <w:pgMar w:top="1138" w:right="936"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