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7448"/>
          <w:sz w:val="30"/>
        </w:rPr>
        <w:t>SAMYOJ</w:t>
      </w:r>
    </w:p>
    <w:p>
      <w:pPr>
        <w:jc w:val="center"/>
      </w:pPr>
      <w:r>
        <w:rPr>
          <w:b/>
          <w:color w:val="0F1F37"/>
          <w:sz w:val="52"/>
        </w:rPr>
        <w:t>Pricing Page UI / UX Implementation Audit</w:t>
      </w:r>
    </w:p>
    <w:p>
      <w:pPr>
        <w:jc w:val="center"/>
      </w:pPr>
      <w:r>
        <w:rPr>
          <w:color w:val="555F69"/>
          <w:sz w:val="26"/>
        </w:rPr>
        <w:t>Exact section-by-section specification for the real pricing page</w:t>
      </w:r>
    </w:p>
    <w:p>
      <w:pPr>
        <w:jc w:val="center"/>
      </w:pPr>
      <w:r>
        <w:drawing>
          <wp:inline xmlns:a="http://schemas.openxmlformats.org/drawingml/2006/main" xmlns:pic="http://schemas.openxmlformats.org/drawingml/2006/picture">
            <wp:extent cx="1234440" cy="4514523"/>
            <wp:docPr id="1" name="Picture 1"/>
            <wp:cNvGraphicFramePr>
              <a:graphicFrameLocks noChangeAspect="1"/>
            </wp:cNvGraphicFramePr>
            <a:graphic>
              <a:graphicData uri="http://schemas.openxmlformats.org/drawingml/2006/picture">
                <pic:pic>
                  <pic:nvPicPr>
                    <pic:cNvPr id="0" name="cf26bc69-3b99-468c-b272-ee17a8435ef5.png"/>
                    <pic:cNvPicPr/>
                  </pic:nvPicPr>
                  <pic:blipFill>
                    <a:blip r:embed="rId9"/>
                    <a:stretch>
                      <a:fillRect/>
                    </a:stretch>
                  </pic:blipFill>
                  <pic:spPr>
                    <a:xfrm>
                      <a:off x="0" y="0"/>
                      <a:ext cx="1234440" cy="4514523"/>
                    </a:xfrm>
                    <a:prstGeom prst="rect"/>
                  </pic:spPr>
                </pic:pic>
              </a:graphicData>
            </a:graphic>
          </wp:inline>
        </w:drawing>
      </w:r>
    </w:p>
    <w:p>
      <w:pPr>
        <w:spacing w:after="120"/>
      </w:pPr>
      <w:r>
        <w:t>Scope: UI presentation only. This document does not re-litigate the commercial pricing strategy; it defines how the already-approved pricing and usage model should be presented so users can understand it quickly and confidently.</w:t>
      </w:r>
    </w:p>
    <w:p>
      <w:pPr>
        <w:pStyle w:val="Callout"/>
        <w:spacing w:after="120"/>
      </w:pPr>
      <w:r>
        <w:t>Baseline pricing model: Free 14-day trial • Starter ₹999 • Growth ₹2,499 • Pro ₹4,999. Billing options: Monthly, Quarterly, Annual. WhatsApp/Meta usage is separate. AI/voice usage is usage-based and should be disclosed clearly.</w:t>
      </w:r>
    </w:p>
    <w:p>
      <w:r>
        <w:br w:type="page"/>
      </w:r>
    </w:p>
    <w:p>
      <w:pPr>
        <w:pStyle w:val="Heading1"/>
        <w:spacing w:after="120"/>
      </w:pPr>
      <w:r>
        <w:t>1. Executive UI decision</w:t>
      </w:r>
    </w:p>
    <w:p>
      <w:pPr>
        <w:spacing w:after="120"/>
      </w:pPr>
      <w:r>
        <w:t>The new pricing page should not look like a completely different product. Keep the current Samyoj visual language: dark navy text, green accent, soft grey surfaces, rounded cards, generous whitespace, dashboard/product imagery and small green badges. What changes is the information architecture and the truthfulness of the content.</w:t>
      </w:r>
    </w:p>
    <w:p>
      <w:pPr>
        <w:spacing w:after="120"/>
      </w:pPr>
      <w:r>
        <w:t>The most important UI principle is: show the buying decision first, then explain the bill, then let the user inspect details. The current design has the right visual direction but makes the reader decode too many billing concepts at once. The replacement should make the first screen answer five questions without scrolling: What is Samyoj? Which plan fits me? How much does it cost? What does the price include? What extra charges should I expect?</w:t>
      </w:r>
    </w:p>
    <w:p>
      <w:pPr>
        <w:pStyle w:val="Heading2"/>
        <w:spacing w:after="120"/>
      </w:pPr>
      <w:r>
        <w:t>The primary user flow</w:t>
      </w:r>
    </w:p>
    <w:p>
      <w:pPr>
        <w:pStyle w:val="ListNumber"/>
        <w:spacing w:after="40"/>
      </w:pPr>
      <w:r>
        <w:t>Choose billing: Monthly / Quarterly / Annual.</w:t>
      </w:r>
    </w:p>
    <w:p>
      <w:pPr>
        <w:pStyle w:val="ListNumber"/>
        <w:spacing w:after="40"/>
      </w:pPr>
      <w:r>
        <w:t>Compare four plans: Free Trial / Starter / Growth / Pro.</w:t>
      </w:r>
    </w:p>
    <w:p>
      <w:pPr>
        <w:pStyle w:val="ListNumber"/>
        <w:spacing w:after="40"/>
      </w:pPr>
      <w:r>
        <w:t>See the one-line statement that WhatsApp/Meta usage is separate.</w:t>
      </w:r>
    </w:p>
    <w:p>
      <w:pPr>
        <w:pStyle w:val="ListNumber"/>
        <w:spacing w:after="40"/>
      </w:pPr>
      <w:r>
        <w:t>Scan the 6–8 most decision-relevant features.</w:t>
      </w:r>
    </w:p>
    <w:p>
      <w:pPr>
        <w:pStyle w:val="ListNumber"/>
        <w:spacing w:after="40"/>
      </w:pPr>
      <w:r>
        <w:t>Open detailed comparison only when needed.</w:t>
      </w:r>
    </w:p>
    <w:p>
      <w:pPr>
        <w:pStyle w:val="ListNumber"/>
        <w:spacing w:after="40"/>
      </w:pPr>
      <w:r>
        <w:t>Use the cost estimator when the user wants a realistic bill.</w:t>
      </w:r>
    </w:p>
    <w:p>
      <w:pPr>
        <w:pStyle w:val="ListNumber"/>
        <w:spacing w:after="40"/>
      </w:pPr>
      <w:r>
        <w:t>Read AI / voice and FAQ explanations before conversion.</w:t>
      </w:r>
    </w:p>
    <w:p>
      <w:pPr>
        <w:pStyle w:val="Callout"/>
        <w:spacing w:after="120"/>
      </w:pPr>
      <w:r>
        <w:t>The page should feel simple at the top and detailed lower down. Do not try to make the top card/table answer every edge case.</w:t>
      </w:r>
    </w:p>
    <w:p>
      <w:pPr>
        <w:pStyle w:val="Heading1"/>
        <w:spacing w:after="120"/>
      </w:pPr>
      <w:r>
        <w:t>2. Existing UI audit from the supplied screenshot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1F37"/>
            <w:vAlign w:val="center"/>
          </w:tcPr>
          <w:p>
            <w:pPr>
              <w:spacing w:after="0"/>
            </w:pPr>
            <w:r/>
            <w:r>
              <w:rPr>
                <w:rFonts w:ascii="Aptos" w:hAnsi="Aptos"/>
                <w:b/>
                <w:color w:val="FFFFFF"/>
                <w:sz w:val="16"/>
              </w:rPr>
              <w:t>Area</w:t>
            </w:r>
          </w:p>
        </w:tc>
        <w:tc>
          <w:tcPr>
            <w:tcW w:type="dxa" w:w="3408"/>
            <w:shd w:fill="0F1F37"/>
            <w:vAlign w:val="center"/>
          </w:tcPr>
          <w:p>
            <w:pPr>
              <w:spacing w:after="0"/>
            </w:pPr>
            <w:r/>
            <w:r>
              <w:rPr>
                <w:rFonts w:ascii="Aptos" w:hAnsi="Aptos"/>
                <w:b/>
                <w:color w:val="FFFFFF"/>
                <w:sz w:val="16"/>
              </w:rPr>
              <w:t>What works</w:t>
            </w:r>
          </w:p>
        </w:tc>
        <w:tc>
          <w:tcPr>
            <w:tcW w:type="dxa" w:w="3408"/>
            <w:shd w:fill="0F1F37"/>
            <w:vAlign w:val="center"/>
          </w:tcPr>
          <w:p>
            <w:pPr>
              <w:spacing w:after="0"/>
            </w:pPr>
            <w:r/>
            <w:r>
              <w:rPr>
                <w:rFonts w:ascii="Aptos" w:hAnsi="Aptos"/>
                <w:b/>
                <w:color w:val="FFFFFF"/>
                <w:sz w:val="16"/>
              </w:rPr>
              <w:t>What should change</w:t>
            </w:r>
          </w:p>
        </w:tc>
      </w:tr>
      <w:tr>
        <w:tc>
          <w:tcPr>
            <w:tcW w:type="dxa" w:w="3408"/>
            <w:shd w:fill="F5F8F6"/>
            <w:vAlign w:val="center"/>
          </w:tcPr>
          <w:p>
            <w:pPr>
              <w:spacing w:after="0"/>
            </w:pPr>
            <w:r/>
            <w:r>
              <w:rPr>
                <w:rFonts w:ascii="Aptos" w:hAnsi="Aptos"/>
                <w:b w:val="0"/>
                <w:color w:val="1F2937"/>
                <w:sz w:val="16"/>
              </w:rPr>
              <w:t>Hero</w:t>
            </w:r>
          </w:p>
        </w:tc>
        <w:tc>
          <w:tcPr>
            <w:tcW w:type="dxa" w:w="3408"/>
            <w:shd w:fill="F5F8F6"/>
            <w:vAlign w:val="center"/>
          </w:tcPr>
          <w:p>
            <w:pPr>
              <w:spacing w:after="0"/>
            </w:pPr>
            <w:r/>
            <w:r>
              <w:rPr>
                <w:rFonts w:ascii="Aptos" w:hAnsi="Aptos"/>
                <w:b w:val="0"/>
                <w:color w:val="1F2937"/>
                <w:sz w:val="16"/>
              </w:rPr>
              <w:t>Clear headline, green CTA, pricing theme is immediately visible.</w:t>
            </w:r>
          </w:p>
        </w:tc>
        <w:tc>
          <w:tcPr>
            <w:tcW w:type="dxa" w:w="3408"/>
            <w:shd w:fill="F5F8F6"/>
            <w:vAlign w:val="center"/>
          </w:tcPr>
          <w:p>
            <w:pPr>
              <w:spacing w:after="0"/>
            </w:pPr>
            <w:r/>
            <w:r>
              <w:rPr>
                <w:rFonts w:ascii="Aptos" w:hAnsi="Aptos"/>
                <w:b w:val="0"/>
                <w:color w:val="1F2937"/>
                <w:sz w:val="16"/>
              </w:rPr>
              <w:t>Hero is too product-demo-heavy for a pricing page. Make the pricing promise and billing clarity the main visual hierarchy.</w:t>
            </w:r>
          </w:p>
        </w:tc>
      </w:tr>
      <w:tr>
        <w:tc>
          <w:tcPr>
            <w:tcW w:type="dxa" w:w="3408"/>
            <w:shd w:fill="FFFFFF"/>
            <w:vAlign w:val="center"/>
          </w:tcPr>
          <w:p>
            <w:pPr>
              <w:spacing w:after="0"/>
            </w:pPr>
            <w:r/>
            <w:r>
              <w:rPr>
                <w:rFonts w:ascii="Aptos" w:hAnsi="Aptos"/>
                <w:b w:val="0"/>
                <w:color w:val="1F2937"/>
                <w:sz w:val="16"/>
              </w:rPr>
              <w:t>Billing switch</w:t>
            </w:r>
          </w:p>
        </w:tc>
        <w:tc>
          <w:tcPr>
            <w:tcW w:type="dxa" w:w="3408"/>
            <w:shd w:fill="FFFFFF"/>
            <w:vAlign w:val="center"/>
          </w:tcPr>
          <w:p>
            <w:pPr>
              <w:spacing w:after="0"/>
            </w:pPr>
            <w:r/>
            <w:r>
              <w:rPr>
                <w:rFonts w:ascii="Aptos" w:hAnsi="Aptos"/>
                <w:b w:val="0"/>
                <w:color w:val="1F2937"/>
                <w:sz w:val="16"/>
              </w:rPr>
              <w:t>Monthly/Annual switch is visible.</w:t>
            </w:r>
          </w:p>
        </w:tc>
        <w:tc>
          <w:tcPr>
            <w:tcW w:type="dxa" w:w="3408"/>
            <w:shd w:fill="FFFFFF"/>
            <w:vAlign w:val="center"/>
          </w:tcPr>
          <w:p>
            <w:pPr>
              <w:spacing w:after="0"/>
            </w:pPr>
            <w:r/>
            <w:r>
              <w:rPr>
                <w:rFonts w:ascii="Aptos" w:hAnsi="Aptos"/>
                <w:b w:val="0"/>
                <w:color w:val="1F2937"/>
                <w:sz w:val="16"/>
              </w:rPr>
              <w:t>Add Quarterly. Make the selected state obvious and persist selection while scrolling.</w:t>
            </w:r>
          </w:p>
        </w:tc>
      </w:tr>
      <w:tr>
        <w:tc>
          <w:tcPr>
            <w:tcW w:type="dxa" w:w="3408"/>
            <w:shd w:fill="F5F8F6"/>
            <w:vAlign w:val="center"/>
          </w:tcPr>
          <w:p>
            <w:pPr>
              <w:spacing w:after="0"/>
            </w:pPr>
            <w:r/>
            <w:r>
              <w:rPr>
                <w:rFonts w:ascii="Aptos" w:hAnsi="Aptos"/>
                <w:b w:val="0"/>
                <w:color w:val="1F2937"/>
                <w:sz w:val="16"/>
              </w:rPr>
              <w:t>Plan cards</w:t>
            </w:r>
          </w:p>
        </w:tc>
        <w:tc>
          <w:tcPr>
            <w:tcW w:type="dxa" w:w="3408"/>
            <w:shd w:fill="F5F8F6"/>
            <w:vAlign w:val="center"/>
          </w:tcPr>
          <w:p>
            <w:pPr>
              <w:spacing w:after="0"/>
            </w:pPr>
            <w:r/>
            <w:r>
              <w:rPr>
                <w:rFonts w:ascii="Aptos" w:hAnsi="Aptos"/>
                <w:b w:val="0"/>
                <w:color w:val="1F2937"/>
                <w:sz w:val="16"/>
              </w:rPr>
              <w:t>Four-card pattern is familiar and visually clean.</w:t>
            </w:r>
          </w:p>
        </w:tc>
        <w:tc>
          <w:tcPr>
            <w:tcW w:type="dxa" w:w="3408"/>
            <w:shd w:fill="F5F8F6"/>
            <w:vAlign w:val="center"/>
          </w:tcPr>
          <w:p>
            <w:pPr>
              <w:spacing w:after="0"/>
            </w:pPr>
            <w:r/>
            <w:r>
              <w:rPr>
                <w:rFonts w:ascii="Aptos" w:hAnsi="Aptos"/>
                <w:b w:val="0"/>
                <w:color w:val="1F2937"/>
                <w:sz w:val="16"/>
              </w:rPr>
              <w:t>Current Launch/Growth/Scale/Enterprise taxonomy should be replaced with Free Trial/Starter/Growth/Pro.</w:t>
            </w:r>
          </w:p>
        </w:tc>
      </w:tr>
      <w:tr>
        <w:tc>
          <w:tcPr>
            <w:tcW w:type="dxa" w:w="3408"/>
            <w:shd w:fill="FFFFFF"/>
            <w:vAlign w:val="center"/>
          </w:tcPr>
          <w:p>
            <w:pPr>
              <w:spacing w:after="0"/>
            </w:pPr>
            <w:r/>
            <w:r>
              <w:rPr>
                <w:rFonts w:ascii="Aptos" w:hAnsi="Aptos"/>
                <w:b w:val="0"/>
                <w:color w:val="1F2937"/>
                <w:sz w:val="16"/>
              </w:rPr>
              <w:t>Charge explainer</w:t>
            </w:r>
          </w:p>
        </w:tc>
        <w:tc>
          <w:tcPr>
            <w:tcW w:type="dxa" w:w="3408"/>
            <w:shd w:fill="FFFFFF"/>
            <w:vAlign w:val="center"/>
          </w:tcPr>
          <w:p>
            <w:pPr>
              <w:spacing w:after="0"/>
            </w:pPr>
            <w:r/>
            <w:r>
              <w:rPr>
                <w:rFonts w:ascii="Aptos" w:hAnsi="Aptos"/>
                <w:b w:val="0"/>
                <w:color w:val="1F2937"/>
                <w:sz w:val="16"/>
              </w:rPr>
              <w:t>Separating platform, WhatsApp and AI/voice is the right idea.</w:t>
            </w:r>
          </w:p>
        </w:tc>
        <w:tc>
          <w:tcPr>
            <w:tcW w:type="dxa" w:w="3408"/>
            <w:shd w:fill="FFFFFF"/>
            <w:vAlign w:val="center"/>
          </w:tcPr>
          <w:p>
            <w:pPr>
              <w:spacing w:after="0"/>
            </w:pPr>
            <w:r/>
            <w:r>
              <w:rPr>
                <w:rFonts w:ascii="Aptos" w:hAnsi="Aptos"/>
                <w:b w:val="0"/>
                <w:color w:val="1F2937"/>
                <w:sz w:val="16"/>
              </w:rPr>
              <w:t>Reduce it to a 3-part bill explainer with plain language and move technical rates below the fold.</w:t>
            </w:r>
          </w:p>
        </w:tc>
      </w:tr>
      <w:tr>
        <w:tc>
          <w:tcPr>
            <w:tcW w:type="dxa" w:w="3408"/>
            <w:shd w:fill="F5F8F6"/>
            <w:vAlign w:val="center"/>
          </w:tcPr>
          <w:p>
            <w:pPr>
              <w:spacing w:after="0"/>
            </w:pPr>
            <w:r/>
            <w:r>
              <w:rPr>
                <w:rFonts w:ascii="Aptos" w:hAnsi="Aptos"/>
                <w:b w:val="0"/>
                <w:color w:val="1F2937"/>
                <w:sz w:val="16"/>
              </w:rPr>
              <w:t>Feature table</w:t>
            </w:r>
          </w:p>
        </w:tc>
        <w:tc>
          <w:tcPr>
            <w:tcW w:type="dxa" w:w="3408"/>
            <w:shd w:fill="F5F8F6"/>
            <w:vAlign w:val="center"/>
          </w:tcPr>
          <w:p>
            <w:pPr>
              <w:spacing w:after="0"/>
            </w:pPr>
            <w:r/>
            <w:r>
              <w:rPr>
                <w:rFonts w:ascii="Aptos" w:hAnsi="Aptos"/>
                <w:b w:val="0"/>
                <w:color w:val="1F2937"/>
                <w:sz w:val="16"/>
              </w:rPr>
              <w:t>Users can compare plans in one place.</w:t>
            </w:r>
          </w:p>
        </w:tc>
        <w:tc>
          <w:tcPr>
            <w:tcW w:type="dxa" w:w="3408"/>
            <w:shd w:fill="F5F8F6"/>
            <w:vAlign w:val="center"/>
          </w:tcPr>
          <w:p>
            <w:pPr>
              <w:spacing w:after="0"/>
            </w:pPr>
            <w:r/>
            <w:r>
              <w:rPr>
                <w:rFonts w:ascii="Aptos" w:hAnsi="Aptos"/>
                <w:b w:val="0"/>
                <w:color w:val="1F2937"/>
                <w:sz w:val="16"/>
              </w:rPr>
              <w:t>Current rows mix concepts and expose legacy/mock limits. Replace with the approved feature model and use short labels.</w:t>
            </w:r>
          </w:p>
        </w:tc>
      </w:tr>
      <w:tr>
        <w:tc>
          <w:tcPr>
            <w:tcW w:type="dxa" w:w="3408"/>
            <w:shd w:fill="FFFFFF"/>
            <w:vAlign w:val="center"/>
          </w:tcPr>
          <w:p>
            <w:pPr>
              <w:spacing w:after="0"/>
            </w:pPr>
            <w:r/>
            <w:r>
              <w:rPr>
                <w:rFonts w:ascii="Aptos" w:hAnsi="Aptos"/>
                <w:b w:val="0"/>
                <w:color w:val="1F2937"/>
                <w:sz w:val="16"/>
              </w:rPr>
              <w:t>Cost estimator</w:t>
            </w:r>
          </w:p>
        </w:tc>
        <w:tc>
          <w:tcPr>
            <w:tcW w:type="dxa" w:w="3408"/>
            <w:shd w:fill="FFFFFF"/>
            <w:vAlign w:val="center"/>
          </w:tcPr>
          <w:p>
            <w:pPr>
              <w:spacing w:after="0"/>
            </w:pPr>
            <w:r/>
            <w:r>
              <w:rPr>
                <w:rFonts w:ascii="Aptos" w:hAnsi="Aptos"/>
                <w:b w:val="0"/>
                <w:color w:val="1F2937"/>
                <w:sz w:val="16"/>
              </w:rPr>
              <w:t>Interactive estimator is useful.</w:t>
            </w:r>
          </w:p>
        </w:tc>
        <w:tc>
          <w:tcPr>
            <w:tcW w:type="dxa" w:w="3408"/>
            <w:shd w:fill="FFFFFF"/>
            <w:vAlign w:val="center"/>
          </w:tcPr>
          <w:p>
            <w:pPr>
              <w:spacing w:after="0"/>
            </w:pPr>
            <w:r/>
            <w:r>
              <w:rPr>
                <w:rFonts w:ascii="Aptos" w:hAnsi="Aptos"/>
                <w:b w:val="0"/>
                <w:color w:val="1F2937"/>
                <w:sz w:val="16"/>
              </w:rPr>
              <w:t>Current controls can overwhelm before the user understands plans. Move estimator after the plan comparison and label it as an estimate.</w:t>
            </w:r>
          </w:p>
        </w:tc>
      </w:tr>
      <w:tr>
        <w:tc>
          <w:tcPr>
            <w:tcW w:type="dxa" w:w="3408"/>
            <w:shd w:fill="F5F8F6"/>
            <w:vAlign w:val="center"/>
          </w:tcPr>
          <w:p>
            <w:pPr>
              <w:spacing w:after="0"/>
            </w:pPr>
            <w:r/>
            <w:r>
              <w:rPr>
                <w:rFonts w:ascii="Aptos" w:hAnsi="Aptos"/>
                <w:b w:val="0"/>
                <w:color w:val="1F2937"/>
                <w:sz w:val="16"/>
              </w:rPr>
              <w:t>Proof / trust</w:t>
            </w:r>
          </w:p>
        </w:tc>
        <w:tc>
          <w:tcPr>
            <w:tcW w:type="dxa" w:w="3408"/>
            <w:shd w:fill="F5F8F6"/>
            <w:vAlign w:val="center"/>
          </w:tcPr>
          <w:p>
            <w:pPr>
              <w:spacing w:after="0"/>
            </w:pPr>
            <w:r/>
            <w:r>
              <w:rPr>
                <w:rFonts w:ascii="Aptos" w:hAnsi="Aptos"/>
                <w:b w:val="0"/>
                <w:color w:val="1F2937"/>
                <w:sz w:val="16"/>
              </w:rPr>
              <w:t>Trust blocks and testimonials add reassurance.</w:t>
            </w:r>
          </w:p>
        </w:tc>
        <w:tc>
          <w:tcPr>
            <w:tcW w:type="dxa" w:w="3408"/>
            <w:shd w:fill="F5F8F6"/>
            <w:vAlign w:val="center"/>
          </w:tcPr>
          <w:p>
            <w:pPr>
              <w:spacing w:after="0"/>
            </w:pPr>
            <w:r/>
            <w:r>
              <w:rPr>
                <w:rFonts w:ascii="Aptos" w:hAnsi="Aptos"/>
                <w:b w:val="0"/>
                <w:color w:val="1F2937"/>
                <w:sz w:val="16"/>
              </w:rPr>
              <w:t>Keep one compact trust strip before deep FAQs; do not let social proof interrupt the core pricing flow.</w:t>
            </w:r>
          </w:p>
        </w:tc>
      </w:tr>
      <w:tr>
        <w:tc>
          <w:tcPr>
            <w:tcW w:type="dxa" w:w="3408"/>
            <w:shd w:fill="FFFFFF"/>
            <w:vAlign w:val="center"/>
          </w:tcPr>
          <w:p>
            <w:pPr>
              <w:spacing w:after="0"/>
            </w:pPr>
            <w:r/>
            <w:r>
              <w:rPr>
                <w:rFonts w:ascii="Aptos" w:hAnsi="Aptos"/>
                <w:b w:val="0"/>
                <w:color w:val="1F2937"/>
                <w:sz w:val="16"/>
              </w:rPr>
              <w:t>FAQ</w:t>
            </w:r>
          </w:p>
        </w:tc>
        <w:tc>
          <w:tcPr>
            <w:tcW w:type="dxa" w:w="3408"/>
            <w:shd w:fill="FFFFFF"/>
            <w:vAlign w:val="center"/>
          </w:tcPr>
          <w:p>
            <w:pPr>
              <w:spacing w:after="0"/>
            </w:pPr>
            <w:r/>
            <w:r>
              <w:rPr>
                <w:rFonts w:ascii="Aptos" w:hAnsi="Aptos"/>
                <w:b w:val="0"/>
                <w:color w:val="1F2937"/>
                <w:sz w:val="16"/>
              </w:rPr>
              <w:t>FAQ is useful for pricing objections.</w:t>
            </w:r>
          </w:p>
        </w:tc>
        <w:tc>
          <w:tcPr>
            <w:tcW w:type="dxa" w:w="3408"/>
            <w:shd w:fill="FFFFFF"/>
            <w:vAlign w:val="center"/>
          </w:tcPr>
          <w:p>
            <w:pPr>
              <w:spacing w:after="0"/>
            </w:pPr>
            <w:r/>
            <w:r>
              <w:rPr>
                <w:rFonts w:ascii="Aptos" w:hAnsi="Aptos"/>
                <w:b w:val="0"/>
                <w:color w:val="1F2937"/>
                <w:sz w:val="16"/>
              </w:rPr>
              <w:t>Rewrite around billing, Meta charges, upgrades/downgrades, trial expiry and AI usage.</w:t>
            </w:r>
          </w:p>
        </w:tc>
      </w:tr>
      <w:tr>
        <w:tc>
          <w:tcPr>
            <w:tcW w:type="dxa" w:w="3408"/>
            <w:shd w:fill="F5F8F6"/>
            <w:vAlign w:val="center"/>
          </w:tcPr>
          <w:p>
            <w:pPr>
              <w:spacing w:after="0"/>
            </w:pPr>
            <w:r/>
            <w:r>
              <w:rPr>
                <w:rFonts w:ascii="Aptos" w:hAnsi="Aptos"/>
                <w:b w:val="0"/>
                <w:color w:val="1F2937"/>
                <w:sz w:val="16"/>
              </w:rPr>
              <w:t>Footer CTA</w:t>
            </w:r>
          </w:p>
        </w:tc>
        <w:tc>
          <w:tcPr>
            <w:tcW w:type="dxa" w:w="3408"/>
            <w:shd w:fill="F5F8F6"/>
            <w:vAlign w:val="center"/>
          </w:tcPr>
          <w:p>
            <w:pPr>
              <w:spacing w:after="0"/>
            </w:pPr>
            <w:r/>
            <w:r>
              <w:rPr>
                <w:rFonts w:ascii="Aptos" w:hAnsi="Aptos"/>
                <w:b w:val="0"/>
                <w:color w:val="1F2937"/>
                <w:sz w:val="16"/>
              </w:rPr>
              <w:t>Strong conversion close.</w:t>
            </w:r>
          </w:p>
        </w:tc>
        <w:tc>
          <w:tcPr>
            <w:tcW w:type="dxa" w:w="3408"/>
            <w:shd w:fill="F5F8F6"/>
            <w:vAlign w:val="center"/>
          </w:tcPr>
          <w:p>
            <w:pPr>
              <w:spacing w:after="0"/>
            </w:pPr>
            <w:r/>
            <w:r>
              <w:rPr>
                <w:rFonts w:ascii="Aptos" w:hAnsi="Aptos"/>
                <w:b w:val="0"/>
                <w:color w:val="1F2937"/>
                <w:sz w:val="16"/>
              </w:rPr>
              <w:t>Repeat the selected plan and billing period in the CTA context on mobile.</w:t>
            </w:r>
          </w:p>
        </w:tc>
      </w:tr>
    </w:tbl>
    <w:p>
      <w:pPr>
        <w:pStyle w:val="Callout"/>
        <w:spacing w:after="120"/>
      </w:pPr>
      <w:r>
        <w:t>Important: the screenshot contains legacy/mock pricing and feature values. The redesign should reuse the visual system, not the copy, figures or plan taxonomy.</w:t>
      </w:r>
    </w:p>
    <w:p>
      <w:pPr>
        <w:pStyle w:val="Heading1"/>
        <w:spacing w:after="120"/>
      </w:pPr>
      <w:r>
        <w:t>3. Recommended pricing-page information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0F1F37"/>
            <w:vAlign w:val="center"/>
          </w:tcPr>
          <w:p>
            <w:pPr>
              <w:spacing w:after="0"/>
            </w:pPr>
            <w:r/>
            <w:r>
              <w:rPr>
                <w:rFonts w:ascii="Aptos" w:hAnsi="Aptos"/>
                <w:b/>
                <w:color w:val="FFFFFF"/>
                <w:sz w:val="16"/>
              </w:rPr>
              <w:t>Order</w:t>
            </w:r>
          </w:p>
        </w:tc>
        <w:tc>
          <w:tcPr>
            <w:tcW w:type="dxa" w:w="2556"/>
            <w:shd w:fill="0F1F37"/>
            <w:vAlign w:val="center"/>
          </w:tcPr>
          <w:p>
            <w:pPr>
              <w:spacing w:after="0"/>
            </w:pPr>
            <w:r/>
            <w:r>
              <w:rPr>
                <w:rFonts w:ascii="Aptos" w:hAnsi="Aptos"/>
                <w:b/>
                <w:color w:val="FFFFFF"/>
                <w:sz w:val="16"/>
              </w:rPr>
              <w:t>Section</w:t>
            </w:r>
          </w:p>
        </w:tc>
        <w:tc>
          <w:tcPr>
            <w:tcW w:type="dxa" w:w="2556"/>
            <w:shd w:fill="0F1F37"/>
            <w:vAlign w:val="center"/>
          </w:tcPr>
          <w:p>
            <w:pPr>
              <w:spacing w:after="0"/>
            </w:pPr>
            <w:r/>
            <w:r>
              <w:rPr>
                <w:rFonts w:ascii="Aptos" w:hAnsi="Aptos"/>
                <w:b/>
                <w:color w:val="FFFFFF"/>
                <w:sz w:val="16"/>
              </w:rPr>
              <w:t>Purpose</w:t>
            </w:r>
          </w:p>
        </w:tc>
        <w:tc>
          <w:tcPr>
            <w:tcW w:type="dxa" w:w="2556"/>
            <w:shd w:fill="0F1F37"/>
            <w:vAlign w:val="center"/>
          </w:tcPr>
          <w:p>
            <w:pPr>
              <w:spacing w:after="0"/>
            </w:pPr>
            <w:r/>
            <w:r>
              <w:rPr>
                <w:rFonts w:ascii="Aptos" w:hAnsi="Aptos"/>
                <w:b/>
                <w:color w:val="FFFFFF"/>
                <w:sz w:val="16"/>
              </w:rPr>
              <w:t>Visibility</w:t>
            </w:r>
          </w:p>
        </w:tc>
      </w:tr>
      <w:tr>
        <w:tc>
          <w:tcPr>
            <w:tcW w:type="dxa" w:w="2556"/>
            <w:shd w:fill="F5F8F6"/>
            <w:vAlign w:val="center"/>
          </w:tcPr>
          <w:p>
            <w:pPr>
              <w:spacing w:after="0"/>
            </w:pPr>
            <w:r/>
            <w:r>
              <w:rPr>
                <w:rFonts w:ascii="Aptos" w:hAnsi="Aptos"/>
                <w:b w:val="0"/>
                <w:color w:val="1F2937"/>
                <w:sz w:val="16"/>
              </w:rPr>
              <w:t>01</w:t>
            </w:r>
          </w:p>
        </w:tc>
        <w:tc>
          <w:tcPr>
            <w:tcW w:type="dxa" w:w="2556"/>
            <w:shd w:fill="F5F8F6"/>
            <w:vAlign w:val="center"/>
          </w:tcPr>
          <w:p>
            <w:pPr>
              <w:spacing w:after="0"/>
            </w:pPr>
            <w:r/>
            <w:r>
              <w:rPr>
                <w:rFonts w:ascii="Aptos" w:hAnsi="Aptos"/>
                <w:b w:val="0"/>
                <w:color w:val="1F2937"/>
                <w:sz w:val="16"/>
              </w:rPr>
              <w:t>Hero + billing selector</w:t>
            </w:r>
          </w:p>
        </w:tc>
        <w:tc>
          <w:tcPr>
            <w:tcW w:type="dxa" w:w="2556"/>
            <w:shd w:fill="F5F8F6"/>
            <w:vAlign w:val="center"/>
          </w:tcPr>
          <w:p>
            <w:pPr>
              <w:spacing w:after="0"/>
            </w:pPr>
            <w:r/>
            <w:r>
              <w:rPr>
                <w:rFonts w:ascii="Aptos" w:hAnsi="Aptos"/>
                <w:b w:val="0"/>
                <w:color w:val="1F2937"/>
                <w:sz w:val="16"/>
              </w:rPr>
              <w:t>Set context and choose billing cycle.</w:t>
            </w:r>
          </w:p>
        </w:tc>
        <w:tc>
          <w:tcPr>
            <w:tcW w:type="dxa" w:w="2556"/>
            <w:shd w:fill="F5F8F6"/>
            <w:vAlign w:val="center"/>
          </w:tcPr>
          <w:p>
            <w:pPr>
              <w:spacing w:after="0"/>
            </w:pPr>
            <w:r/>
            <w:r>
              <w:rPr>
                <w:rFonts w:ascii="Aptos" w:hAnsi="Aptos"/>
                <w:b w:val="0"/>
                <w:color w:val="1F2937"/>
                <w:sz w:val="16"/>
              </w:rPr>
              <w:t>Above the fold</w:t>
            </w:r>
          </w:p>
        </w:tc>
      </w:tr>
      <w:tr>
        <w:tc>
          <w:tcPr>
            <w:tcW w:type="dxa" w:w="2556"/>
            <w:shd w:fill="FFFFFF"/>
            <w:vAlign w:val="center"/>
          </w:tcPr>
          <w:p>
            <w:pPr>
              <w:spacing w:after="0"/>
            </w:pPr>
            <w:r/>
            <w:r>
              <w:rPr>
                <w:rFonts w:ascii="Aptos" w:hAnsi="Aptos"/>
                <w:b w:val="0"/>
                <w:color w:val="1F2937"/>
                <w:sz w:val="16"/>
              </w:rPr>
              <w:t>02</w:t>
            </w:r>
          </w:p>
        </w:tc>
        <w:tc>
          <w:tcPr>
            <w:tcW w:type="dxa" w:w="2556"/>
            <w:shd w:fill="FFFFFF"/>
            <w:vAlign w:val="center"/>
          </w:tcPr>
          <w:p>
            <w:pPr>
              <w:spacing w:after="0"/>
            </w:pPr>
            <w:r/>
            <w:r>
              <w:rPr>
                <w:rFonts w:ascii="Aptos" w:hAnsi="Aptos"/>
                <w:b w:val="0"/>
                <w:color w:val="1F2937"/>
                <w:sz w:val="16"/>
              </w:rPr>
              <w:t>4 pricing cards</w:t>
            </w:r>
          </w:p>
        </w:tc>
        <w:tc>
          <w:tcPr>
            <w:tcW w:type="dxa" w:w="2556"/>
            <w:shd w:fill="FFFFFF"/>
            <w:vAlign w:val="center"/>
          </w:tcPr>
          <w:p>
            <w:pPr>
              <w:spacing w:after="0"/>
            </w:pPr>
            <w:r/>
            <w:r>
              <w:rPr>
                <w:rFonts w:ascii="Aptos" w:hAnsi="Aptos"/>
                <w:b w:val="0"/>
                <w:color w:val="1F2937"/>
                <w:sz w:val="16"/>
              </w:rPr>
              <w:t>Primary purchase decision.</w:t>
            </w:r>
          </w:p>
        </w:tc>
        <w:tc>
          <w:tcPr>
            <w:tcW w:type="dxa" w:w="2556"/>
            <w:shd w:fill="FFFFFF"/>
            <w:vAlign w:val="center"/>
          </w:tcPr>
          <w:p>
            <w:pPr>
              <w:spacing w:after="0"/>
            </w:pPr>
            <w:r/>
            <w:r>
              <w:rPr>
                <w:rFonts w:ascii="Aptos" w:hAnsi="Aptos"/>
                <w:b w:val="0"/>
                <w:color w:val="1F2937"/>
                <w:sz w:val="16"/>
              </w:rPr>
              <w:t>Above the fold</w:t>
            </w:r>
          </w:p>
        </w:tc>
      </w:tr>
      <w:tr>
        <w:tc>
          <w:tcPr>
            <w:tcW w:type="dxa" w:w="2556"/>
            <w:shd w:fill="F5F8F6"/>
            <w:vAlign w:val="center"/>
          </w:tcPr>
          <w:p>
            <w:pPr>
              <w:spacing w:after="0"/>
            </w:pPr>
            <w:r/>
            <w:r>
              <w:rPr>
                <w:rFonts w:ascii="Aptos" w:hAnsi="Aptos"/>
                <w:b w:val="0"/>
                <w:color w:val="1F2937"/>
                <w:sz w:val="16"/>
              </w:rPr>
              <w:t>03</w:t>
            </w:r>
          </w:p>
        </w:tc>
        <w:tc>
          <w:tcPr>
            <w:tcW w:type="dxa" w:w="2556"/>
            <w:shd w:fill="F5F8F6"/>
            <w:vAlign w:val="center"/>
          </w:tcPr>
          <w:p>
            <w:pPr>
              <w:spacing w:after="0"/>
            </w:pPr>
            <w:r/>
            <w:r>
              <w:rPr>
                <w:rFonts w:ascii="Aptos" w:hAnsi="Aptos"/>
                <w:b w:val="0"/>
                <w:color w:val="1F2937"/>
                <w:sz w:val="16"/>
              </w:rPr>
              <w:t>3-part bill explainer</w:t>
            </w:r>
          </w:p>
        </w:tc>
        <w:tc>
          <w:tcPr>
            <w:tcW w:type="dxa" w:w="2556"/>
            <w:shd w:fill="F5F8F6"/>
            <w:vAlign w:val="center"/>
          </w:tcPr>
          <w:p>
            <w:pPr>
              <w:spacing w:after="0"/>
            </w:pPr>
            <w:r/>
            <w:r>
              <w:rPr>
                <w:rFonts w:ascii="Aptos" w:hAnsi="Aptos"/>
                <w:b w:val="0"/>
                <w:color w:val="1F2937"/>
                <w:sz w:val="16"/>
              </w:rPr>
              <w:t>Prevent confusion about platform vs WhatsApp vs AI/voice charges.</w:t>
            </w:r>
          </w:p>
        </w:tc>
        <w:tc>
          <w:tcPr>
            <w:tcW w:type="dxa" w:w="2556"/>
            <w:shd w:fill="F5F8F6"/>
            <w:vAlign w:val="center"/>
          </w:tcPr>
          <w:p>
            <w:pPr>
              <w:spacing w:after="0"/>
            </w:pPr>
            <w:r/>
            <w:r>
              <w:rPr>
                <w:rFonts w:ascii="Aptos" w:hAnsi="Aptos"/>
                <w:b w:val="0"/>
                <w:color w:val="1F2937"/>
                <w:sz w:val="16"/>
              </w:rPr>
              <w:t>Immediately after cards</w:t>
            </w:r>
          </w:p>
        </w:tc>
      </w:tr>
      <w:tr>
        <w:tc>
          <w:tcPr>
            <w:tcW w:type="dxa" w:w="2556"/>
            <w:shd w:fill="FFFFFF"/>
            <w:vAlign w:val="center"/>
          </w:tcPr>
          <w:p>
            <w:pPr>
              <w:spacing w:after="0"/>
            </w:pPr>
            <w:r/>
            <w:r>
              <w:rPr>
                <w:rFonts w:ascii="Aptos" w:hAnsi="Aptos"/>
                <w:b w:val="0"/>
                <w:color w:val="1F2937"/>
                <w:sz w:val="16"/>
              </w:rPr>
              <w:t>04</w:t>
            </w:r>
          </w:p>
        </w:tc>
        <w:tc>
          <w:tcPr>
            <w:tcW w:type="dxa" w:w="2556"/>
            <w:shd w:fill="FFFFFF"/>
            <w:vAlign w:val="center"/>
          </w:tcPr>
          <w:p>
            <w:pPr>
              <w:spacing w:after="0"/>
            </w:pPr>
            <w:r/>
            <w:r>
              <w:rPr>
                <w:rFonts w:ascii="Aptos" w:hAnsi="Aptos"/>
                <w:b w:val="0"/>
                <w:color w:val="1F2937"/>
                <w:sz w:val="16"/>
              </w:rPr>
              <w:t>Core feature comparison</w:t>
            </w:r>
          </w:p>
        </w:tc>
        <w:tc>
          <w:tcPr>
            <w:tcW w:type="dxa" w:w="2556"/>
            <w:shd w:fill="FFFFFF"/>
            <w:vAlign w:val="center"/>
          </w:tcPr>
          <w:p>
            <w:pPr>
              <w:spacing w:after="0"/>
            </w:pPr>
            <w:r/>
            <w:r>
              <w:rPr>
                <w:rFonts w:ascii="Aptos" w:hAnsi="Aptos"/>
                <w:b w:val="0"/>
                <w:color w:val="1F2937"/>
                <w:sz w:val="16"/>
              </w:rPr>
              <w:t>Allow fast plan validation.</w:t>
            </w:r>
          </w:p>
        </w:tc>
        <w:tc>
          <w:tcPr>
            <w:tcW w:type="dxa" w:w="2556"/>
            <w:shd w:fill="FFFFFF"/>
            <w:vAlign w:val="center"/>
          </w:tcPr>
          <w:p>
            <w:pPr>
              <w:spacing w:after="0"/>
            </w:pPr>
            <w:r/>
            <w:r>
              <w:rPr>
                <w:rFonts w:ascii="Aptos" w:hAnsi="Aptos"/>
                <w:b w:val="0"/>
                <w:color w:val="1F2937"/>
                <w:sz w:val="16"/>
              </w:rPr>
              <w:t>Primary body</w:t>
            </w:r>
          </w:p>
        </w:tc>
      </w:tr>
      <w:tr>
        <w:tc>
          <w:tcPr>
            <w:tcW w:type="dxa" w:w="2556"/>
            <w:shd w:fill="F5F8F6"/>
            <w:vAlign w:val="center"/>
          </w:tcPr>
          <w:p>
            <w:pPr>
              <w:spacing w:after="0"/>
            </w:pPr>
            <w:r/>
            <w:r>
              <w:rPr>
                <w:rFonts w:ascii="Aptos" w:hAnsi="Aptos"/>
                <w:b w:val="0"/>
                <w:color w:val="1F2937"/>
                <w:sz w:val="16"/>
              </w:rPr>
              <w:t>05</w:t>
            </w:r>
          </w:p>
        </w:tc>
        <w:tc>
          <w:tcPr>
            <w:tcW w:type="dxa" w:w="2556"/>
            <w:shd w:fill="F5F8F6"/>
            <w:vAlign w:val="center"/>
          </w:tcPr>
          <w:p>
            <w:pPr>
              <w:spacing w:after="0"/>
            </w:pPr>
            <w:r/>
            <w:r>
              <w:rPr>
                <w:rFonts w:ascii="Aptos" w:hAnsi="Aptos"/>
                <w:b w:val="0"/>
                <w:color w:val="1F2937"/>
                <w:sz w:val="16"/>
              </w:rPr>
              <w:t>AI / usage note</w:t>
            </w:r>
          </w:p>
        </w:tc>
        <w:tc>
          <w:tcPr>
            <w:tcW w:type="dxa" w:w="2556"/>
            <w:shd w:fill="F5F8F6"/>
            <w:vAlign w:val="center"/>
          </w:tcPr>
          <w:p>
            <w:pPr>
              <w:spacing w:after="0"/>
            </w:pPr>
            <w:r/>
            <w:r>
              <w:rPr>
                <w:rFonts w:ascii="Aptos" w:hAnsi="Aptos"/>
                <w:b w:val="0"/>
                <w:color w:val="1F2937"/>
                <w:sz w:val="16"/>
              </w:rPr>
              <w:t>Explain that AI is included by capability but usage remains fair-use/usage-based.</w:t>
            </w:r>
          </w:p>
        </w:tc>
        <w:tc>
          <w:tcPr>
            <w:tcW w:type="dxa" w:w="2556"/>
            <w:shd w:fill="F5F8F6"/>
            <w:vAlign w:val="center"/>
          </w:tcPr>
          <w:p>
            <w:pPr>
              <w:spacing w:after="0"/>
            </w:pPr>
            <w:r/>
            <w:r>
              <w:rPr>
                <w:rFonts w:ascii="Aptos" w:hAnsi="Aptos"/>
                <w:b w:val="0"/>
                <w:color w:val="1F2937"/>
                <w:sz w:val="16"/>
              </w:rPr>
              <w:t>Below table</w:t>
            </w:r>
          </w:p>
        </w:tc>
      </w:tr>
      <w:tr>
        <w:tc>
          <w:tcPr>
            <w:tcW w:type="dxa" w:w="2556"/>
            <w:shd w:fill="FFFFFF"/>
            <w:vAlign w:val="center"/>
          </w:tcPr>
          <w:p>
            <w:pPr>
              <w:spacing w:after="0"/>
            </w:pPr>
            <w:r/>
            <w:r>
              <w:rPr>
                <w:rFonts w:ascii="Aptos" w:hAnsi="Aptos"/>
                <w:b w:val="0"/>
                <w:color w:val="1F2937"/>
                <w:sz w:val="16"/>
              </w:rPr>
              <w:t>06</w:t>
            </w:r>
          </w:p>
        </w:tc>
        <w:tc>
          <w:tcPr>
            <w:tcW w:type="dxa" w:w="2556"/>
            <w:shd w:fill="FFFFFF"/>
            <w:vAlign w:val="center"/>
          </w:tcPr>
          <w:p>
            <w:pPr>
              <w:spacing w:after="0"/>
            </w:pPr>
            <w:r/>
            <w:r>
              <w:rPr>
                <w:rFonts w:ascii="Aptos" w:hAnsi="Aptos"/>
                <w:b w:val="0"/>
                <w:color w:val="1F2937"/>
                <w:sz w:val="16"/>
              </w:rPr>
              <w:t>Cost estimator</w:t>
            </w:r>
          </w:p>
        </w:tc>
        <w:tc>
          <w:tcPr>
            <w:tcW w:type="dxa" w:w="2556"/>
            <w:shd w:fill="FFFFFF"/>
            <w:vAlign w:val="center"/>
          </w:tcPr>
          <w:p>
            <w:pPr>
              <w:spacing w:after="0"/>
            </w:pPr>
            <w:r/>
            <w:r>
              <w:rPr>
                <w:rFonts w:ascii="Aptos" w:hAnsi="Aptos"/>
                <w:b w:val="0"/>
                <w:color w:val="1F2937"/>
                <w:sz w:val="16"/>
              </w:rPr>
              <w:t>Help high-intent users calculate likely spend.</w:t>
            </w:r>
          </w:p>
        </w:tc>
        <w:tc>
          <w:tcPr>
            <w:tcW w:type="dxa" w:w="2556"/>
            <w:shd w:fill="FFFFFF"/>
            <w:vAlign w:val="center"/>
          </w:tcPr>
          <w:p>
            <w:pPr>
              <w:spacing w:after="0"/>
            </w:pPr>
            <w:r/>
            <w:r>
              <w:rPr>
                <w:rFonts w:ascii="Aptos" w:hAnsi="Aptos"/>
                <w:b w:val="0"/>
                <w:color w:val="1F2937"/>
                <w:sz w:val="16"/>
              </w:rPr>
              <w:t>Mid-page</w:t>
            </w:r>
          </w:p>
        </w:tc>
      </w:tr>
      <w:tr>
        <w:tc>
          <w:tcPr>
            <w:tcW w:type="dxa" w:w="2556"/>
            <w:shd w:fill="F5F8F6"/>
            <w:vAlign w:val="center"/>
          </w:tcPr>
          <w:p>
            <w:pPr>
              <w:spacing w:after="0"/>
            </w:pPr>
            <w:r/>
            <w:r>
              <w:rPr>
                <w:rFonts w:ascii="Aptos" w:hAnsi="Aptos"/>
                <w:b w:val="0"/>
                <w:color w:val="1F2937"/>
                <w:sz w:val="16"/>
              </w:rPr>
              <w:t>07</w:t>
            </w:r>
          </w:p>
        </w:tc>
        <w:tc>
          <w:tcPr>
            <w:tcW w:type="dxa" w:w="2556"/>
            <w:shd w:fill="F5F8F6"/>
            <w:vAlign w:val="center"/>
          </w:tcPr>
          <w:p>
            <w:pPr>
              <w:spacing w:after="0"/>
            </w:pPr>
            <w:r/>
            <w:r>
              <w:rPr>
                <w:rFonts w:ascii="Aptos" w:hAnsi="Aptos"/>
                <w:b w:val="0"/>
                <w:color w:val="1F2937"/>
                <w:sz w:val="16"/>
              </w:rPr>
              <w:t>What is included</w:t>
            </w:r>
          </w:p>
        </w:tc>
        <w:tc>
          <w:tcPr>
            <w:tcW w:type="dxa" w:w="2556"/>
            <w:shd w:fill="F5F8F6"/>
            <w:vAlign w:val="center"/>
          </w:tcPr>
          <w:p>
            <w:pPr>
              <w:spacing w:after="0"/>
            </w:pPr>
            <w:r/>
            <w:r>
              <w:rPr>
                <w:rFonts w:ascii="Aptos" w:hAnsi="Aptos"/>
                <w:b w:val="0"/>
                <w:color w:val="1F2937"/>
                <w:sz w:val="16"/>
              </w:rPr>
              <w:t>Turn feature nouns into outcome-oriented proof.</w:t>
            </w:r>
          </w:p>
        </w:tc>
        <w:tc>
          <w:tcPr>
            <w:tcW w:type="dxa" w:w="2556"/>
            <w:shd w:fill="F5F8F6"/>
            <w:vAlign w:val="center"/>
          </w:tcPr>
          <w:p>
            <w:pPr>
              <w:spacing w:after="0"/>
            </w:pPr>
            <w:r/>
            <w:r>
              <w:rPr>
                <w:rFonts w:ascii="Aptos" w:hAnsi="Aptos"/>
                <w:b w:val="0"/>
                <w:color w:val="1F2937"/>
                <w:sz w:val="16"/>
              </w:rPr>
              <w:t>Mid-page</w:t>
            </w:r>
          </w:p>
        </w:tc>
      </w:tr>
      <w:tr>
        <w:tc>
          <w:tcPr>
            <w:tcW w:type="dxa" w:w="2556"/>
            <w:shd w:fill="FFFFFF"/>
            <w:vAlign w:val="center"/>
          </w:tcPr>
          <w:p>
            <w:pPr>
              <w:spacing w:after="0"/>
            </w:pPr>
            <w:r/>
            <w:r>
              <w:rPr>
                <w:rFonts w:ascii="Aptos" w:hAnsi="Aptos"/>
                <w:b w:val="0"/>
                <w:color w:val="1F2937"/>
                <w:sz w:val="16"/>
              </w:rPr>
              <w:t>08</w:t>
            </w:r>
          </w:p>
        </w:tc>
        <w:tc>
          <w:tcPr>
            <w:tcW w:type="dxa" w:w="2556"/>
            <w:shd w:fill="FFFFFF"/>
            <w:vAlign w:val="center"/>
          </w:tcPr>
          <w:p>
            <w:pPr>
              <w:spacing w:after="0"/>
            </w:pPr>
            <w:r/>
            <w:r>
              <w:rPr>
                <w:rFonts w:ascii="Aptos" w:hAnsi="Aptos"/>
                <w:b w:val="0"/>
                <w:color w:val="1F2937"/>
                <w:sz w:val="16"/>
              </w:rPr>
              <w:t>Trust strip / testimonials</w:t>
            </w:r>
          </w:p>
        </w:tc>
        <w:tc>
          <w:tcPr>
            <w:tcW w:type="dxa" w:w="2556"/>
            <w:shd w:fill="FFFFFF"/>
            <w:vAlign w:val="center"/>
          </w:tcPr>
          <w:p>
            <w:pPr>
              <w:spacing w:after="0"/>
            </w:pPr>
            <w:r/>
            <w:r>
              <w:rPr>
                <w:rFonts w:ascii="Aptos" w:hAnsi="Aptos"/>
                <w:b w:val="0"/>
                <w:color w:val="1F2937"/>
                <w:sz w:val="16"/>
              </w:rPr>
              <w:t>Reduce perceived purchase risk.</w:t>
            </w:r>
          </w:p>
        </w:tc>
        <w:tc>
          <w:tcPr>
            <w:tcW w:type="dxa" w:w="2556"/>
            <w:shd w:fill="FFFFFF"/>
            <w:vAlign w:val="center"/>
          </w:tcPr>
          <w:p>
            <w:pPr>
              <w:spacing w:after="0"/>
            </w:pPr>
            <w:r/>
            <w:r>
              <w:rPr>
                <w:rFonts w:ascii="Aptos" w:hAnsi="Aptos"/>
                <w:b w:val="0"/>
                <w:color w:val="1F2937"/>
                <w:sz w:val="16"/>
              </w:rPr>
              <w:t>Lower-mid</w:t>
            </w:r>
          </w:p>
        </w:tc>
      </w:tr>
      <w:tr>
        <w:tc>
          <w:tcPr>
            <w:tcW w:type="dxa" w:w="2556"/>
            <w:shd w:fill="F5F8F6"/>
            <w:vAlign w:val="center"/>
          </w:tcPr>
          <w:p>
            <w:pPr>
              <w:spacing w:after="0"/>
            </w:pPr>
            <w:r/>
            <w:r>
              <w:rPr>
                <w:rFonts w:ascii="Aptos" w:hAnsi="Aptos"/>
                <w:b w:val="0"/>
                <w:color w:val="1F2937"/>
                <w:sz w:val="16"/>
              </w:rPr>
              <w:t>09</w:t>
            </w:r>
          </w:p>
        </w:tc>
        <w:tc>
          <w:tcPr>
            <w:tcW w:type="dxa" w:w="2556"/>
            <w:shd w:fill="F5F8F6"/>
            <w:vAlign w:val="center"/>
          </w:tcPr>
          <w:p>
            <w:pPr>
              <w:spacing w:after="0"/>
            </w:pPr>
            <w:r/>
            <w:r>
              <w:rPr>
                <w:rFonts w:ascii="Aptos" w:hAnsi="Aptos"/>
                <w:b w:val="0"/>
                <w:color w:val="1F2937"/>
                <w:sz w:val="16"/>
              </w:rPr>
              <w:t>FAQ</w:t>
            </w:r>
          </w:p>
        </w:tc>
        <w:tc>
          <w:tcPr>
            <w:tcW w:type="dxa" w:w="2556"/>
            <w:shd w:fill="F5F8F6"/>
            <w:vAlign w:val="center"/>
          </w:tcPr>
          <w:p>
            <w:pPr>
              <w:spacing w:after="0"/>
            </w:pPr>
            <w:r/>
            <w:r>
              <w:rPr>
                <w:rFonts w:ascii="Aptos" w:hAnsi="Aptos"/>
                <w:b w:val="0"/>
                <w:color w:val="1F2937"/>
                <w:sz w:val="16"/>
              </w:rPr>
              <w:t>Handle pricing objections.</w:t>
            </w:r>
          </w:p>
        </w:tc>
        <w:tc>
          <w:tcPr>
            <w:tcW w:type="dxa" w:w="2556"/>
            <w:shd w:fill="F5F8F6"/>
            <w:vAlign w:val="center"/>
          </w:tcPr>
          <w:p>
            <w:pPr>
              <w:spacing w:after="0"/>
            </w:pPr>
            <w:r/>
            <w:r>
              <w:rPr>
                <w:rFonts w:ascii="Aptos" w:hAnsi="Aptos"/>
                <w:b w:val="0"/>
                <w:color w:val="1F2937"/>
                <w:sz w:val="16"/>
              </w:rPr>
              <w:t>Lower page</w:t>
            </w:r>
          </w:p>
        </w:tc>
      </w:tr>
      <w:tr>
        <w:tc>
          <w:tcPr>
            <w:tcW w:type="dxa" w:w="2556"/>
            <w:shd w:fill="FFFFFF"/>
            <w:vAlign w:val="center"/>
          </w:tcPr>
          <w:p>
            <w:pPr>
              <w:spacing w:after="0"/>
            </w:pPr>
            <w:r/>
            <w:r>
              <w:rPr>
                <w:rFonts w:ascii="Aptos" w:hAnsi="Aptos"/>
                <w:b w:val="0"/>
                <w:color w:val="1F2937"/>
                <w:sz w:val="16"/>
              </w:rPr>
              <w:t>10</w:t>
            </w:r>
          </w:p>
        </w:tc>
        <w:tc>
          <w:tcPr>
            <w:tcW w:type="dxa" w:w="2556"/>
            <w:shd w:fill="FFFFFF"/>
            <w:vAlign w:val="center"/>
          </w:tcPr>
          <w:p>
            <w:pPr>
              <w:spacing w:after="0"/>
            </w:pPr>
            <w:r/>
            <w:r>
              <w:rPr>
                <w:rFonts w:ascii="Aptos" w:hAnsi="Aptos"/>
                <w:b w:val="0"/>
                <w:color w:val="1F2937"/>
                <w:sz w:val="16"/>
              </w:rPr>
              <w:t>Final CTA</w:t>
            </w:r>
          </w:p>
        </w:tc>
        <w:tc>
          <w:tcPr>
            <w:tcW w:type="dxa" w:w="2556"/>
            <w:shd w:fill="FFFFFF"/>
            <w:vAlign w:val="center"/>
          </w:tcPr>
          <w:p>
            <w:pPr>
              <w:spacing w:after="0"/>
            </w:pPr>
            <w:r/>
            <w:r>
              <w:rPr>
                <w:rFonts w:ascii="Aptos" w:hAnsi="Aptos"/>
                <w:b w:val="0"/>
                <w:color w:val="1F2937"/>
                <w:sz w:val="16"/>
              </w:rPr>
              <w:t>Convert after all objections are answered.</w:t>
            </w:r>
          </w:p>
        </w:tc>
        <w:tc>
          <w:tcPr>
            <w:tcW w:type="dxa" w:w="2556"/>
            <w:shd w:fill="FFFFFF"/>
            <w:vAlign w:val="center"/>
          </w:tcPr>
          <w:p>
            <w:pPr>
              <w:spacing w:after="0"/>
            </w:pPr>
            <w:r/>
            <w:r>
              <w:rPr>
                <w:rFonts w:ascii="Aptos" w:hAnsi="Aptos"/>
                <w:b w:val="0"/>
                <w:color w:val="1F2937"/>
                <w:sz w:val="16"/>
              </w:rPr>
              <w:t>Bottom</w:t>
            </w:r>
          </w:p>
        </w:tc>
      </w:tr>
      <w:tr>
        <w:tc>
          <w:tcPr>
            <w:tcW w:type="dxa" w:w="2556"/>
            <w:shd w:fill="F5F8F6"/>
            <w:vAlign w:val="center"/>
          </w:tcPr>
          <w:p>
            <w:pPr>
              <w:spacing w:after="0"/>
            </w:pPr>
            <w:r/>
            <w:r>
              <w:rPr>
                <w:rFonts w:ascii="Aptos" w:hAnsi="Aptos"/>
                <w:b w:val="0"/>
                <w:color w:val="1F2937"/>
                <w:sz w:val="16"/>
              </w:rPr>
              <w:t>11</w:t>
            </w:r>
          </w:p>
        </w:tc>
        <w:tc>
          <w:tcPr>
            <w:tcW w:type="dxa" w:w="2556"/>
            <w:shd w:fill="F5F8F6"/>
            <w:vAlign w:val="center"/>
          </w:tcPr>
          <w:p>
            <w:pPr>
              <w:spacing w:after="0"/>
            </w:pPr>
            <w:r/>
            <w:r>
              <w:rPr>
                <w:rFonts w:ascii="Aptos" w:hAnsi="Aptos"/>
                <w:b w:val="0"/>
                <w:color w:val="1F2937"/>
                <w:sz w:val="16"/>
              </w:rPr>
              <w:t>Footer</w:t>
            </w:r>
          </w:p>
        </w:tc>
        <w:tc>
          <w:tcPr>
            <w:tcW w:type="dxa" w:w="2556"/>
            <w:shd w:fill="F5F8F6"/>
            <w:vAlign w:val="center"/>
          </w:tcPr>
          <w:p>
            <w:pPr>
              <w:spacing w:after="0"/>
            </w:pPr>
            <w:r/>
            <w:r>
              <w:rPr>
                <w:rFonts w:ascii="Aptos" w:hAnsi="Aptos"/>
                <w:b w:val="0"/>
                <w:color w:val="1F2937"/>
                <w:sz w:val="16"/>
              </w:rPr>
              <w:t>Navigation/legal.</w:t>
            </w:r>
          </w:p>
        </w:tc>
        <w:tc>
          <w:tcPr>
            <w:tcW w:type="dxa" w:w="2556"/>
            <w:shd w:fill="F5F8F6"/>
            <w:vAlign w:val="center"/>
          </w:tcPr>
          <w:p>
            <w:pPr>
              <w:spacing w:after="0"/>
            </w:pPr>
            <w:r/>
            <w:r>
              <w:rPr>
                <w:rFonts w:ascii="Aptos" w:hAnsi="Aptos"/>
                <w:b w:val="0"/>
                <w:color w:val="1F2937"/>
                <w:sz w:val="16"/>
              </w:rPr>
              <w:t>Bottom</w:t>
            </w:r>
          </w:p>
        </w:tc>
      </w:tr>
    </w:tbl>
    <w:p>
      <w:pPr>
        <w:pStyle w:val="Callout"/>
        <w:spacing w:after="120"/>
      </w:pPr>
      <w:r>
        <w:t>Do not add separate sections for “Campaigns” and “Broadcasts” in the pricing UI. The customer cares about the job-to-be-done: messaging customers on WhatsApp. Technical sub-features belong inside the product after signup.</w:t>
      </w:r>
    </w:p>
    <w:p>
      <w:pPr>
        <w:pStyle w:val="Heading1"/>
        <w:spacing w:after="120"/>
      </w:pPr>
      <w:r>
        <w:t>4. Section-by-section UI specification</w:t>
      </w:r>
    </w:p>
    <w:p>
      <w:pPr>
        <w:pStyle w:val="Heading2"/>
        <w:spacing w:after="120"/>
      </w:pPr>
      <w:r>
        <w:t>4.1 Hero + billing selector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1F37"/>
            <w:vAlign w:val="center"/>
          </w:tcPr>
          <w:p>
            <w:pPr>
              <w:spacing w:after="0"/>
            </w:pPr>
            <w:r/>
            <w:r>
              <w:rPr>
                <w:rFonts w:ascii="Aptos" w:hAnsi="Aptos"/>
                <w:b/>
                <w:color w:val="FFFFFF"/>
                <w:sz w:val="16"/>
              </w:rPr>
              <w:t>Element</w:t>
            </w:r>
          </w:p>
        </w:tc>
        <w:tc>
          <w:tcPr>
            <w:tcW w:type="dxa" w:w="3408"/>
            <w:shd w:fill="0F1F37"/>
            <w:vAlign w:val="center"/>
          </w:tcPr>
          <w:p>
            <w:pPr>
              <w:spacing w:after="0"/>
            </w:pPr>
            <w:r/>
            <w:r>
              <w:rPr>
                <w:rFonts w:ascii="Aptos" w:hAnsi="Aptos"/>
                <w:b/>
                <w:color w:val="FFFFFF"/>
                <w:sz w:val="16"/>
              </w:rPr>
              <w:t>Recommended UI</w:t>
            </w:r>
          </w:p>
        </w:tc>
        <w:tc>
          <w:tcPr>
            <w:tcW w:type="dxa" w:w="3408"/>
            <w:shd w:fill="0F1F37"/>
            <w:vAlign w:val="center"/>
          </w:tcPr>
          <w:p>
            <w:pPr>
              <w:spacing w:after="0"/>
            </w:pPr>
            <w:r/>
            <w:r>
              <w:rPr>
                <w:rFonts w:ascii="Aptos" w:hAnsi="Aptos"/>
                <w:b/>
                <w:color w:val="FFFFFF"/>
                <w:sz w:val="16"/>
              </w:rPr>
              <w:t>Content rule</w:t>
            </w:r>
          </w:p>
        </w:tc>
      </w:tr>
      <w:tr>
        <w:tc>
          <w:tcPr>
            <w:tcW w:type="dxa" w:w="3408"/>
            <w:shd w:fill="F5F8F6"/>
            <w:vAlign w:val="center"/>
          </w:tcPr>
          <w:p>
            <w:pPr>
              <w:spacing w:after="0"/>
            </w:pPr>
            <w:r/>
            <w:r>
              <w:rPr>
                <w:rFonts w:ascii="Aptos" w:hAnsi="Aptos"/>
                <w:b w:val="0"/>
                <w:color w:val="1F2937"/>
                <w:sz w:val="16"/>
              </w:rPr>
              <w:t>Eyebrow</w:t>
            </w:r>
          </w:p>
        </w:tc>
        <w:tc>
          <w:tcPr>
            <w:tcW w:type="dxa" w:w="3408"/>
            <w:shd w:fill="F5F8F6"/>
            <w:vAlign w:val="center"/>
          </w:tcPr>
          <w:p>
            <w:pPr>
              <w:spacing w:after="0"/>
            </w:pPr>
            <w:r/>
            <w:r>
              <w:rPr>
                <w:rFonts w:ascii="Aptos" w:hAnsi="Aptos"/>
                <w:b w:val="0"/>
                <w:color w:val="1F2937"/>
                <w:sz w:val="16"/>
              </w:rPr>
              <w:t>Small green pill: “Plans that scale with you”</w:t>
            </w:r>
          </w:p>
        </w:tc>
        <w:tc>
          <w:tcPr>
            <w:tcW w:type="dxa" w:w="3408"/>
            <w:shd w:fill="F5F8F6"/>
            <w:vAlign w:val="center"/>
          </w:tcPr>
          <w:p>
            <w:pPr>
              <w:spacing w:after="0"/>
            </w:pPr>
            <w:r/>
            <w:r>
              <w:rPr>
                <w:rFonts w:ascii="Aptos" w:hAnsi="Aptos"/>
                <w:b w:val="0"/>
                <w:color w:val="1F2937"/>
                <w:sz w:val="16"/>
              </w:rPr>
              <w:t>Avoid “pricing” as the only label.</w:t>
            </w:r>
          </w:p>
        </w:tc>
      </w:tr>
      <w:tr>
        <w:tc>
          <w:tcPr>
            <w:tcW w:type="dxa" w:w="3408"/>
            <w:shd w:fill="FFFFFF"/>
            <w:vAlign w:val="center"/>
          </w:tcPr>
          <w:p>
            <w:pPr>
              <w:spacing w:after="0"/>
            </w:pPr>
            <w:r/>
            <w:r>
              <w:rPr>
                <w:rFonts w:ascii="Aptos" w:hAnsi="Aptos"/>
                <w:b w:val="0"/>
                <w:color w:val="1F2937"/>
                <w:sz w:val="16"/>
              </w:rPr>
              <w:t>Headline</w:t>
            </w:r>
          </w:p>
        </w:tc>
        <w:tc>
          <w:tcPr>
            <w:tcW w:type="dxa" w:w="3408"/>
            <w:shd w:fill="FFFFFF"/>
            <w:vAlign w:val="center"/>
          </w:tcPr>
          <w:p>
            <w:pPr>
              <w:spacing w:after="0"/>
            </w:pPr>
            <w:r/>
            <w:r>
              <w:rPr>
                <w:rFonts w:ascii="Aptos" w:hAnsi="Aptos"/>
                <w:b w:val="0"/>
                <w:color w:val="1F2937"/>
                <w:sz w:val="16"/>
              </w:rPr>
              <w:t>“Simple pricing for WhatsApp sales, support &amp; automation.”</w:t>
            </w:r>
          </w:p>
        </w:tc>
        <w:tc>
          <w:tcPr>
            <w:tcW w:type="dxa" w:w="3408"/>
            <w:shd w:fill="FFFFFF"/>
            <w:vAlign w:val="center"/>
          </w:tcPr>
          <w:p>
            <w:pPr>
              <w:spacing w:after="0"/>
            </w:pPr>
            <w:r/>
            <w:r>
              <w:rPr>
                <w:rFonts w:ascii="Aptos" w:hAnsi="Aptos"/>
                <w:b w:val="0"/>
                <w:color w:val="1F2937"/>
                <w:sz w:val="16"/>
              </w:rPr>
              <w:t>Shorter and more outcome-led than the current growth headline.</w:t>
            </w:r>
          </w:p>
        </w:tc>
      </w:tr>
      <w:tr>
        <w:tc>
          <w:tcPr>
            <w:tcW w:type="dxa" w:w="3408"/>
            <w:shd w:fill="F5F8F6"/>
            <w:vAlign w:val="center"/>
          </w:tcPr>
          <w:p>
            <w:pPr>
              <w:spacing w:after="0"/>
            </w:pPr>
            <w:r/>
            <w:r>
              <w:rPr>
                <w:rFonts w:ascii="Aptos" w:hAnsi="Aptos"/>
                <w:b w:val="0"/>
                <w:color w:val="1F2937"/>
                <w:sz w:val="16"/>
              </w:rPr>
              <w:t>Subheadline</w:t>
            </w:r>
          </w:p>
        </w:tc>
        <w:tc>
          <w:tcPr>
            <w:tcW w:type="dxa" w:w="3408"/>
            <w:shd w:fill="F5F8F6"/>
            <w:vAlign w:val="center"/>
          </w:tcPr>
          <w:p>
            <w:pPr>
              <w:spacing w:after="0"/>
            </w:pPr>
            <w:r/>
            <w:r>
              <w:rPr>
                <w:rFonts w:ascii="Aptos" w:hAnsi="Aptos"/>
                <w:b w:val="0"/>
                <w:color w:val="1F2937"/>
                <w:sz w:val="16"/>
              </w:rPr>
              <w:t>“Start with a 14-day free trial. Upgrade when your team is ready. WhatsApp/Meta usage and AI/voice usage are billed separately.”</w:t>
            </w:r>
          </w:p>
        </w:tc>
        <w:tc>
          <w:tcPr>
            <w:tcW w:type="dxa" w:w="3408"/>
            <w:shd w:fill="F5F8F6"/>
            <w:vAlign w:val="center"/>
          </w:tcPr>
          <w:p>
            <w:pPr>
              <w:spacing w:after="0"/>
            </w:pPr>
            <w:r/>
            <w:r>
              <w:rPr>
                <w:rFonts w:ascii="Aptos" w:hAnsi="Aptos"/>
                <w:b w:val="0"/>
                <w:color w:val="1F2937"/>
                <w:sz w:val="16"/>
              </w:rPr>
              <w:t>This is the single most important clarification.</w:t>
            </w:r>
          </w:p>
        </w:tc>
      </w:tr>
      <w:tr>
        <w:tc>
          <w:tcPr>
            <w:tcW w:type="dxa" w:w="3408"/>
            <w:shd w:fill="FFFFFF"/>
            <w:vAlign w:val="center"/>
          </w:tcPr>
          <w:p>
            <w:pPr>
              <w:spacing w:after="0"/>
            </w:pPr>
            <w:r/>
            <w:r>
              <w:rPr>
                <w:rFonts w:ascii="Aptos" w:hAnsi="Aptos"/>
                <w:b w:val="0"/>
                <w:color w:val="1F2937"/>
                <w:sz w:val="16"/>
              </w:rPr>
              <w:t>Billing control</w:t>
            </w:r>
          </w:p>
        </w:tc>
        <w:tc>
          <w:tcPr>
            <w:tcW w:type="dxa" w:w="3408"/>
            <w:shd w:fill="FFFFFF"/>
            <w:vAlign w:val="center"/>
          </w:tcPr>
          <w:p>
            <w:pPr>
              <w:spacing w:after="0"/>
            </w:pPr>
            <w:r/>
            <w:r>
              <w:rPr>
                <w:rFonts w:ascii="Aptos" w:hAnsi="Aptos"/>
                <w:b w:val="0"/>
                <w:color w:val="1F2937"/>
                <w:sz w:val="16"/>
              </w:rPr>
              <w:t>Segmented control: Monthly | Quarterly Save 5% | Annual Save 20%</w:t>
            </w:r>
          </w:p>
        </w:tc>
        <w:tc>
          <w:tcPr>
            <w:tcW w:type="dxa" w:w="3408"/>
            <w:shd w:fill="FFFFFF"/>
            <w:vAlign w:val="center"/>
          </w:tcPr>
          <w:p>
            <w:pPr>
              <w:spacing w:after="0"/>
            </w:pPr>
            <w:r/>
            <w:r>
              <w:rPr>
                <w:rFonts w:ascii="Aptos" w:hAnsi="Aptos"/>
                <w:b w:val="0"/>
                <w:color w:val="1F2937"/>
                <w:sz w:val="16"/>
              </w:rPr>
              <w:t>Annual selected by default.</w:t>
            </w:r>
          </w:p>
        </w:tc>
      </w:tr>
      <w:tr>
        <w:tc>
          <w:tcPr>
            <w:tcW w:type="dxa" w:w="3408"/>
            <w:shd w:fill="F5F8F6"/>
            <w:vAlign w:val="center"/>
          </w:tcPr>
          <w:p>
            <w:pPr>
              <w:spacing w:after="0"/>
            </w:pPr>
            <w:r/>
            <w:r>
              <w:rPr>
                <w:rFonts w:ascii="Aptos" w:hAnsi="Aptos"/>
                <w:b w:val="0"/>
                <w:color w:val="1F2937"/>
                <w:sz w:val="16"/>
              </w:rPr>
              <w:t>Microcopy</w:t>
            </w:r>
          </w:p>
        </w:tc>
        <w:tc>
          <w:tcPr>
            <w:tcW w:type="dxa" w:w="3408"/>
            <w:shd w:fill="F5F8F6"/>
            <w:vAlign w:val="center"/>
          </w:tcPr>
          <w:p>
            <w:pPr>
              <w:spacing w:after="0"/>
            </w:pPr>
            <w:r/>
            <w:r>
              <w:rPr>
                <w:rFonts w:ascii="Aptos" w:hAnsi="Aptos"/>
                <w:b w:val="0"/>
                <w:color w:val="1F2937"/>
                <w:sz w:val="16"/>
              </w:rPr>
              <w:t>“No card required” only if true. Otherwise remove it.</w:t>
            </w:r>
          </w:p>
        </w:tc>
        <w:tc>
          <w:tcPr>
            <w:tcW w:type="dxa" w:w="3408"/>
            <w:shd w:fill="F5F8F6"/>
            <w:vAlign w:val="center"/>
          </w:tcPr>
          <w:p>
            <w:pPr>
              <w:spacing w:after="0"/>
            </w:pPr>
            <w:r/>
            <w:r>
              <w:rPr>
                <w:rFonts w:ascii="Aptos" w:hAnsi="Aptos"/>
                <w:b w:val="0"/>
                <w:color w:val="1F2937"/>
                <w:sz w:val="16"/>
              </w:rPr>
              <w:t>Do not imply frictionless signup unless the implementation supports it.</w:t>
            </w:r>
          </w:p>
        </w:tc>
      </w:tr>
      <w:tr>
        <w:tc>
          <w:tcPr>
            <w:tcW w:type="dxa" w:w="3408"/>
            <w:shd w:fill="FFFFFF"/>
            <w:vAlign w:val="center"/>
          </w:tcPr>
          <w:p>
            <w:pPr>
              <w:spacing w:after="0"/>
            </w:pPr>
            <w:r/>
            <w:r>
              <w:rPr>
                <w:rFonts w:ascii="Aptos" w:hAnsi="Aptos"/>
                <w:b w:val="0"/>
                <w:color w:val="1F2937"/>
                <w:sz w:val="16"/>
              </w:rPr>
              <w:t>Primary CTA</w:t>
            </w:r>
          </w:p>
        </w:tc>
        <w:tc>
          <w:tcPr>
            <w:tcW w:type="dxa" w:w="3408"/>
            <w:shd w:fill="FFFFFF"/>
            <w:vAlign w:val="center"/>
          </w:tcPr>
          <w:p>
            <w:pPr>
              <w:spacing w:after="0"/>
            </w:pPr>
            <w:r/>
            <w:r>
              <w:rPr>
                <w:rFonts w:ascii="Aptos" w:hAnsi="Aptos"/>
                <w:b w:val="0"/>
                <w:color w:val="1F2937"/>
                <w:sz w:val="16"/>
              </w:rPr>
              <w:t>“Start free trial”</w:t>
            </w:r>
          </w:p>
        </w:tc>
        <w:tc>
          <w:tcPr>
            <w:tcW w:type="dxa" w:w="3408"/>
            <w:shd w:fill="FFFFFF"/>
            <w:vAlign w:val="center"/>
          </w:tcPr>
          <w:p>
            <w:pPr>
              <w:spacing w:after="0"/>
            </w:pPr>
            <w:r/>
            <w:r>
              <w:rPr>
                <w:rFonts w:ascii="Aptos" w:hAnsi="Aptos"/>
                <w:b w:val="0"/>
                <w:color w:val="1F2937"/>
                <w:sz w:val="16"/>
              </w:rPr>
              <w:t>Use the same label everywhere.</w:t>
            </w:r>
          </w:p>
        </w:tc>
      </w:tr>
      <w:tr>
        <w:tc>
          <w:tcPr>
            <w:tcW w:type="dxa" w:w="3408"/>
            <w:shd w:fill="F5F8F6"/>
            <w:vAlign w:val="center"/>
          </w:tcPr>
          <w:p>
            <w:pPr>
              <w:spacing w:after="0"/>
            </w:pPr>
            <w:r/>
            <w:r>
              <w:rPr>
                <w:rFonts w:ascii="Aptos" w:hAnsi="Aptos"/>
                <w:b w:val="0"/>
                <w:color w:val="1F2937"/>
                <w:sz w:val="16"/>
              </w:rPr>
              <w:t>Secondary CTA</w:t>
            </w:r>
          </w:p>
        </w:tc>
        <w:tc>
          <w:tcPr>
            <w:tcW w:type="dxa" w:w="3408"/>
            <w:shd w:fill="F5F8F6"/>
            <w:vAlign w:val="center"/>
          </w:tcPr>
          <w:p>
            <w:pPr>
              <w:spacing w:after="0"/>
            </w:pPr>
            <w:r/>
            <w:r>
              <w:rPr>
                <w:rFonts w:ascii="Aptos" w:hAnsi="Aptos"/>
                <w:b w:val="0"/>
                <w:color w:val="1F2937"/>
                <w:sz w:val="16"/>
              </w:rPr>
              <w:t>“Compare plans” or anchor link</w:t>
            </w:r>
          </w:p>
        </w:tc>
        <w:tc>
          <w:tcPr>
            <w:tcW w:type="dxa" w:w="3408"/>
            <w:shd w:fill="F5F8F6"/>
            <w:vAlign w:val="center"/>
          </w:tcPr>
          <w:p>
            <w:pPr>
              <w:spacing w:after="0"/>
            </w:pPr>
            <w:r/>
            <w:r>
              <w:rPr>
                <w:rFonts w:ascii="Aptos" w:hAnsi="Aptos"/>
                <w:b w:val="0"/>
                <w:color w:val="1F2937"/>
                <w:sz w:val="16"/>
              </w:rPr>
              <w:t>Avoid “Book a Demo” next to low-price self-serve plans unless sales-assisted conversion is truly intended.</w:t>
            </w:r>
          </w:p>
        </w:tc>
      </w:tr>
    </w:tbl>
    <w:p>
      <w:pPr>
        <w:pStyle w:val="Heading3"/>
        <w:spacing w:after="120"/>
      </w:pPr>
      <w:r>
        <w:t>Billing state behaviour</w:t>
      </w:r>
    </w:p>
    <w:p>
      <w:pPr>
        <w:pStyle w:val="ListBullet"/>
        <w:spacing w:after="40"/>
      </w:pPr>
      <w:r>
        <w:t>Monthly: show ₹999/mo, ₹2,499/mo, ₹4,999/mo.</w:t>
      </w:r>
    </w:p>
    <w:p>
      <w:pPr>
        <w:pStyle w:val="ListBullet"/>
        <w:spacing w:after="40"/>
      </w:pPr>
      <w:r>
        <w:t>Quarterly: show monthly equivalent plus total due today: ₹950/mo, ₹2,375/mo, ₹4,750/mo; “Billed ₹2,850 every 3 months”, etc.</w:t>
      </w:r>
    </w:p>
    <w:p>
      <w:pPr>
        <w:pStyle w:val="ListBullet"/>
        <w:spacing w:after="40"/>
      </w:pPr>
      <w:r>
        <w:t>Annual: show monthly equivalent plus total due today: ₹800/mo, ₹2,000/mo, ₹4,000/mo; “Billed ₹9,600 yearly”, etc.</w:t>
      </w:r>
    </w:p>
    <w:p>
      <w:pPr>
        <w:pStyle w:val="ListBullet"/>
        <w:spacing w:after="40"/>
      </w:pPr>
      <w:r>
        <w:t>Show the discount next to the billing selector, not buried inside each card.</w:t>
      </w:r>
    </w:p>
    <w:p>
      <w:pPr>
        <w:pStyle w:val="ListBullet"/>
        <w:spacing w:after="40"/>
      </w:pPr>
      <w:r>
        <w:t>When billing changes, update every price, CTA, savings label and FAQ anchor state together.</w:t>
      </w:r>
    </w:p>
    <w:p>
      <w:pPr>
        <w:pStyle w:val="Heading2"/>
        <w:spacing w:after="120"/>
      </w:pPr>
      <w:r>
        <w:t>4.2 Pricing cards</w:t>
      </w:r>
    </w:p>
    <w:p>
      <w:pPr>
        <w:spacing w:after="120"/>
      </w:pPr>
      <w:r>
        <w:t>Use four cards in a single row on desktop and a stacked/2-column layout on mobile. Growth remains visually recommended. Do not use an Enterprise card at this stage unless a real sales process exists behind 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0F1F37"/>
            <w:vAlign w:val="center"/>
          </w:tcPr>
          <w:p>
            <w:pPr>
              <w:spacing w:after="0"/>
            </w:pPr>
            <w:r/>
            <w:r>
              <w:rPr>
                <w:rFonts w:ascii="Aptos" w:hAnsi="Aptos"/>
                <w:b/>
                <w:color w:val="FFFFFF"/>
                <w:sz w:val="16"/>
              </w:rPr>
              <w:t>Plan</w:t>
            </w:r>
          </w:p>
        </w:tc>
        <w:tc>
          <w:tcPr>
            <w:tcW w:type="dxa" w:w="2556"/>
            <w:shd w:fill="0F1F37"/>
            <w:vAlign w:val="center"/>
          </w:tcPr>
          <w:p>
            <w:pPr>
              <w:spacing w:after="0"/>
            </w:pPr>
            <w:r/>
            <w:r>
              <w:rPr>
                <w:rFonts w:ascii="Aptos" w:hAnsi="Aptos"/>
                <w:b/>
                <w:color w:val="FFFFFF"/>
                <w:sz w:val="16"/>
              </w:rPr>
              <w:t>Positioning line</w:t>
            </w:r>
          </w:p>
        </w:tc>
        <w:tc>
          <w:tcPr>
            <w:tcW w:type="dxa" w:w="2556"/>
            <w:shd w:fill="0F1F37"/>
            <w:vAlign w:val="center"/>
          </w:tcPr>
          <w:p>
            <w:pPr>
              <w:spacing w:after="0"/>
            </w:pPr>
            <w:r/>
            <w:r>
              <w:rPr>
                <w:rFonts w:ascii="Aptos" w:hAnsi="Aptos"/>
                <w:b/>
                <w:color w:val="FFFFFF"/>
                <w:sz w:val="16"/>
              </w:rPr>
              <w:t>Price display</w:t>
            </w:r>
          </w:p>
        </w:tc>
        <w:tc>
          <w:tcPr>
            <w:tcW w:type="dxa" w:w="2556"/>
            <w:shd w:fill="0F1F37"/>
            <w:vAlign w:val="center"/>
          </w:tcPr>
          <w:p>
            <w:pPr>
              <w:spacing w:after="0"/>
            </w:pPr>
            <w:r/>
            <w:r>
              <w:rPr>
                <w:rFonts w:ascii="Aptos" w:hAnsi="Aptos"/>
                <w:b/>
                <w:color w:val="FFFFFF"/>
                <w:sz w:val="16"/>
              </w:rPr>
              <w:t>Primary CTA</w:t>
            </w:r>
          </w:p>
        </w:tc>
      </w:tr>
      <w:tr>
        <w:tc>
          <w:tcPr>
            <w:tcW w:type="dxa" w:w="2556"/>
            <w:shd w:fill="F5F8F6"/>
            <w:vAlign w:val="center"/>
          </w:tcPr>
          <w:p>
            <w:pPr>
              <w:spacing w:after="0"/>
            </w:pPr>
            <w:r/>
            <w:r>
              <w:rPr>
                <w:rFonts w:ascii="Aptos" w:hAnsi="Aptos"/>
                <w:b w:val="0"/>
                <w:color w:val="1F2937"/>
                <w:sz w:val="16"/>
              </w:rPr>
              <w:t>14-Day Free Trial</w:t>
            </w:r>
          </w:p>
        </w:tc>
        <w:tc>
          <w:tcPr>
            <w:tcW w:type="dxa" w:w="2556"/>
            <w:shd w:fill="F5F8F6"/>
            <w:vAlign w:val="center"/>
          </w:tcPr>
          <w:p>
            <w:pPr>
              <w:spacing w:after="0"/>
            </w:pPr>
            <w:r/>
            <w:r>
              <w:rPr>
                <w:rFonts w:ascii="Aptos" w:hAnsi="Aptos"/>
                <w:b w:val="0"/>
                <w:color w:val="1F2937"/>
                <w:sz w:val="16"/>
              </w:rPr>
              <w:t>Try the full workflow before choosing a paid plan.</w:t>
            </w:r>
          </w:p>
        </w:tc>
        <w:tc>
          <w:tcPr>
            <w:tcW w:type="dxa" w:w="2556"/>
            <w:shd w:fill="F5F8F6"/>
            <w:vAlign w:val="center"/>
          </w:tcPr>
          <w:p>
            <w:pPr>
              <w:spacing w:after="0"/>
            </w:pPr>
            <w:r/>
            <w:r>
              <w:rPr>
                <w:rFonts w:ascii="Aptos" w:hAnsi="Aptos"/>
                <w:b w:val="0"/>
                <w:color w:val="1F2937"/>
                <w:sz w:val="16"/>
              </w:rPr>
              <w:t>₹0 for 14 days</w:t>
            </w:r>
          </w:p>
        </w:tc>
        <w:tc>
          <w:tcPr>
            <w:tcW w:type="dxa" w:w="2556"/>
            <w:shd w:fill="F5F8F6"/>
            <w:vAlign w:val="center"/>
          </w:tcPr>
          <w:p>
            <w:pPr>
              <w:spacing w:after="0"/>
            </w:pPr>
            <w:r/>
            <w:r>
              <w:rPr>
                <w:rFonts w:ascii="Aptos" w:hAnsi="Aptos"/>
                <w:b w:val="0"/>
                <w:color w:val="1F2937"/>
                <w:sz w:val="16"/>
              </w:rPr>
              <w:t>Start free trial</w:t>
            </w:r>
          </w:p>
        </w:tc>
      </w:tr>
      <w:tr>
        <w:tc>
          <w:tcPr>
            <w:tcW w:type="dxa" w:w="2556"/>
            <w:shd w:fill="FFFFFF"/>
            <w:vAlign w:val="center"/>
          </w:tcPr>
          <w:p>
            <w:pPr>
              <w:spacing w:after="0"/>
            </w:pPr>
            <w:r/>
            <w:r>
              <w:rPr>
                <w:rFonts w:ascii="Aptos" w:hAnsi="Aptos"/>
                <w:b w:val="0"/>
                <w:color w:val="1F2937"/>
                <w:sz w:val="16"/>
              </w:rPr>
              <w:t>Starter</w:t>
            </w:r>
          </w:p>
        </w:tc>
        <w:tc>
          <w:tcPr>
            <w:tcW w:type="dxa" w:w="2556"/>
            <w:shd w:fill="FFFFFF"/>
            <w:vAlign w:val="center"/>
          </w:tcPr>
          <w:p>
            <w:pPr>
              <w:spacing w:after="0"/>
            </w:pPr>
            <w:r/>
            <w:r>
              <w:rPr>
                <w:rFonts w:ascii="Aptos" w:hAnsi="Aptos"/>
                <w:b w:val="0"/>
                <w:color w:val="1F2937"/>
                <w:sz w:val="16"/>
              </w:rPr>
              <w:t>For individuals and small businesses.</w:t>
            </w:r>
          </w:p>
        </w:tc>
        <w:tc>
          <w:tcPr>
            <w:tcW w:type="dxa" w:w="2556"/>
            <w:shd w:fill="FFFFFF"/>
            <w:vAlign w:val="center"/>
          </w:tcPr>
          <w:p>
            <w:pPr>
              <w:spacing w:after="0"/>
            </w:pPr>
            <w:r/>
            <w:r>
              <w:rPr>
                <w:rFonts w:ascii="Aptos" w:hAnsi="Aptos"/>
                <w:b w:val="0"/>
                <w:color w:val="1F2937"/>
                <w:sz w:val="16"/>
              </w:rPr>
              <w:t>₹999 / month</w:t>
            </w:r>
          </w:p>
        </w:tc>
        <w:tc>
          <w:tcPr>
            <w:tcW w:type="dxa" w:w="2556"/>
            <w:shd w:fill="FFFFFF"/>
            <w:vAlign w:val="center"/>
          </w:tcPr>
          <w:p>
            <w:pPr>
              <w:spacing w:after="0"/>
            </w:pPr>
            <w:r/>
            <w:r>
              <w:rPr>
                <w:rFonts w:ascii="Aptos" w:hAnsi="Aptos"/>
                <w:b w:val="0"/>
                <w:color w:val="1F2937"/>
                <w:sz w:val="16"/>
              </w:rPr>
              <w:t>Start free trial</w:t>
            </w:r>
          </w:p>
        </w:tc>
      </w:tr>
      <w:tr>
        <w:tc>
          <w:tcPr>
            <w:tcW w:type="dxa" w:w="2556"/>
            <w:shd w:fill="F5F8F6"/>
            <w:vAlign w:val="center"/>
          </w:tcPr>
          <w:p>
            <w:pPr>
              <w:spacing w:after="0"/>
            </w:pPr>
            <w:r/>
            <w:r>
              <w:rPr>
                <w:rFonts w:ascii="Aptos" w:hAnsi="Aptos"/>
                <w:b w:val="0"/>
                <w:color w:val="1F2937"/>
                <w:sz w:val="16"/>
              </w:rPr>
              <w:t>Growth</w:t>
            </w:r>
          </w:p>
        </w:tc>
        <w:tc>
          <w:tcPr>
            <w:tcW w:type="dxa" w:w="2556"/>
            <w:shd w:fill="F5F8F6"/>
            <w:vAlign w:val="center"/>
          </w:tcPr>
          <w:p>
            <w:pPr>
              <w:spacing w:after="0"/>
            </w:pPr>
            <w:r/>
            <w:r>
              <w:rPr>
                <w:rFonts w:ascii="Aptos" w:hAnsi="Aptos"/>
                <w:b w:val="0"/>
                <w:color w:val="1F2937"/>
                <w:sz w:val="16"/>
              </w:rPr>
              <w:t>For growing teams managing more conversations.</w:t>
            </w:r>
          </w:p>
        </w:tc>
        <w:tc>
          <w:tcPr>
            <w:tcW w:type="dxa" w:w="2556"/>
            <w:shd w:fill="F5F8F6"/>
            <w:vAlign w:val="center"/>
          </w:tcPr>
          <w:p>
            <w:pPr>
              <w:spacing w:after="0"/>
            </w:pPr>
            <w:r/>
            <w:r>
              <w:rPr>
                <w:rFonts w:ascii="Aptos" w:hAnsi="Aptos"/>
                <w:b w:val="0"/>
                <w:color w:val="1F2937"/>
                <w:sz w:val="16"/>
              </w:rPr>
              <w:t>₹2,499 / month</w:t>
            </w:r>
          </w:p>
        </w:tc>
        <w:tc>
          <w:tcPr>
            <w:tcW w:type="dxa" w:w="2556"/>
            <w:shd w:fill="F5F8F6"/>
            <w:vAlign w:val="center"/>
          </w:tcPr>
          <w:p>
            <w:pPr>
              <w:spacing w:after="0"/>
            </w:pPr>
            <w:r/>
            <w:r>
              <w:rPr>
                <w:rFonts w:ascii="Aptos" w:hAnsi="Aptos"/>
                <w:b w:val="0"/>
                <w:color w:val="1F2937"/>
                <w:sz w:val="16"/>
              </w:rPr>
              <w:t>Start free trial</w:t>
            </w:r>
          </w:p>
        </w:tc>
      </w:tr>
      <w:tr>
        <w:tc>
          <w:tcPr>
            <w:tcW w:type="dxa" w:w="2556"/>
            <w:shd w:fill="FFFFFF"/>
            <w:vAlign w:val="center"/>
          </w:tcPr>
          <w:p>
            <w:pPr>
              <w:spacing w:after="0"/>
            </w:pPr>
            <w:r/>
            <w:r>
              <w:rPr>
                <w:rFonts w:ascii="Aptos" w:hAnsi="Aptos"/>
                <w:b w:val="0"/>
                <w:color w:val="1F2937"/>
                <w:sz w:val="16"/>
              </w:rPr>
              <w:t>Pro</w:t>
            </w:r>
          </w:p>
        </w:tc>
        <w:tc>
          <w:tcPr>
            <w:tcW w:type="dxa" w:w="2556"/>
            <w:shd w:fill="FFFFFF"/>
            <w:vAlign w:val="center"/>
          </w:tcPr>
          <w:p>
            <w:pPr>
              <w:spacing w:after="0"/>
            </w:pPr>
            <w:r/>
            <w:r>
              <w:rPr>
                <w:rFonts w:ascii="Aptos" w:hAnsi="Aptos"/>
                <w:b w:val="0"/>
                <w:color w:val="1F2937"/>
                <w:sz w:val="16"/>
              </w:rPr>
              <w:t>For larger teams and AI-led support/sales.</w:t>
            </w:r>
          </w:p>
        </w:tc>
        <w:tc>
          <w:tcPr>
            <w:tcW w:type="dxa" w:w="2556"/>
            <w:shd w:fill="FFFFFF"/>
            <w:vAlign w:val="center"/>
          </w:tcPr>
          <w:p>
            <w:pPr>
              <w:spacing w:after="0"/>
            </w:pPr>
            <w:r/>
            <w:r>
              <w:rPr>
                <w:rFonts w:ascii="Aptos" w:hAnsi="Aptos"/>
                <w:b w:val="0"/>
                <w:color w:val="1F2937"/>
                <w:sz w:val="16"/>
              </w:rPr>
              <w:t>₹4,999 / month</w:t>
            </w:r>
          </w:p>
        </w:tc>
        <w:tc>
          <w:tcPr>
            <w:tcW w:type="dxa" w:w="2556"/>
            <w:shd w:fill="FFFFFF"/>
            <w:vAlign w:val="center"/>
          </w:tcPr>
          <w:p>
            <w:pPr>
              <w:spacing w:after="0"/>
            </w:pPr>
            <w:r/>
            <w:r>
              <w:rPr>
                <w:rFonts w:ascii="Aptos" w:hAnsi="Aptos"/>
                <w:b w:val="0"/>
                <w:color w:val="1F2937"/>
                <w:sz w:val="16"/>
              </w:rPr>
              <w:t>Start free trial</w:t>
            </w:r>
          </w:p>
        </w:tc>
      </w:tr>
    </w:tbl>
    <w:p>
      <w:pPr>
        <w:pStyle w:val="Heading3"/>
        <w:spacing w:after="120"/>
      </w:pPr>
      <w:r>
        <w:t>Recommended card content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0F1F37"/>
            <w:vAlign w:val="center"/>
          </w:tcPr>
          <w:p>
            <w:pPr>
              <w:spacing w:after="0"/>
            </w:pPr>
            <w:r/>
            <w:r>
              <w:rPr>
                <w:rFonts w:ascii="Aptos" w:hAnsi="Aptos"/>
                <w:b/>
                <w:color w:val="FFFFFF"/>
                <w:sz w:val="16"/>
              </w:rPr>
              <w:t>Row</w:t>
            </w:r>
          </w:p>
        </w:tc>
        <w:tc>
          <w:tcPr>
            <w:tcW w:type="dxa" w:w="2045"/>
            <w:shd w:fill="0F1F37"/>
            <w:vAlign w:val="center"/>
          </w:tcPr>
          <w:p>
            <w:pPr>
              <w:spacing w:after="0"/>
            </w:pPr>
            <w:r/>
            <w:r>
              <w:rPr>
                <w:rFonts w:ascii="Aptos" w:hAnsi="Aptos"/>
                <w:b/>
                <w:color w:val="FFFFFF"/>
                <w:sz w:val="16"/>
              </w:rPr>
              <w:t>Free Trial</w:t>
            </w:r>
          </w:p>
        </w:tc>
        <w:tc>
          <w:tcPr>
            <w:tcW w:type="dxa" w:w="2045"/>
            <w:shd w:fill="0F1F37"/>
            <w:vAlign w:val="center"/>
          </w:tcPr>
          <w:p>
            <w:pPr>
              <w:spacing w:after="0"/>
            </w:pPr>
            <w:r/>
            <w:r>
              <w:rPr>
                <w:rFonts w:ascii="Aptos" w:hAnsi="Aptos"/>
                <w:b/>
                <w:color w:val="FFFFFF"/>
                <w:sz w:val="16"/>
              </w:rPr>
              <w:t>Starter</w:t>
            </w:r>
          </w:p>
        </w:tc>
        <w:tc>
          <w:tcPr>
            <w:tcW w:type="dxa" w:w="2045"/>
            <w:shd w:fill="0F1F37"/>
            <w:vAlign w:val="center"/>
          </w:tcPr>
          <w:p>
            <w:pPr>
              <w:spacing w:after="0"/>
            </w:pPr>
            <w:r/>
            <w:r>
              <w:rPr>
                <w:rFonts w:ascii="Aptos" w:hAnsi="Aptos"/>
                <w:b/>
                <w:color w:val="FFFFFF"/>
                <w:sz w:val="16"/>
              </w:rPr>
              <w:t>Growth</w:t>
            </w:r>
          </w:p>
        </w:tc>
        <w:tc>
          <w:tcPr>
            <w:tcW w:type="dxa" w:w="2045"/>
            <w:shd w:fill="0F1F37"/>
            <w:vAlign w:val="center"/>
          </w:tcPr>
          <w:p>
            <w:pPr>
              <w:spacing w:after="0"/>
            </w:pPr>
            <w:r/>
            <w:r>
              <w:rPr>
                <w:rFonts w:ascii="Aptos" w:hAnsi="Aptos"/>
                <w:b/>
                <w:color w:val="FFFFFF"/>
                <w:sz w:val="16"/>
              </w:rPr>
              <w:t>Pro</w:t>
            </w:r>
          </w:p>
        </w:tc>
      </w:tr>
      <w:tr>
        <w:tc>
          <w:tcPr>
            <w:tcW w:type="dxa" w:w="2045"/>
            <w:shd w:fill="F5F8F6"/>
            <w:vAlign w:val="center"/>
          </w:tcPr>
          <w:p>
            <w:pPr>
              <w:spacing w:after="0"/>
            </w:pPr>
            <w:r/>
            <w:r>
              <w:rPr>
                <w:rFonts w:ascii="Aptos" w:hAnsi="Aptos"/>
                <w:b w:val="0"/>
                <w:color w:val="1F2937"/>
                <w:sz w:val="16"/>
              </w:rPr>
              <w:t>WhatsApp numbers</w:t>
            </w:r>
          </w:p>
        </w:tc>
        <w:tc>
          <w:tcPr>
            <w:tcW w:type="dxa" w:w="2045"/>
            <w:shd w:fill="F5F8F6"/>
            <w:vAlign w:val="center"/>
          </w:tcPr>
          <w:p>
            <w:pPr>
              <w:spacing w:after="0"/>
            </w:pPr>
            <w:r/>
            <w:r>
              <w:rPr>
                <w:rFonts w:ascii="Aptos" w:hAnsi="Aptos"/>
                <w:b w:val="0"/>
                <w:color w:val="1F2937"/>
                <w:sz w:val="16"/>
              </w:rPr>
              <w:t>1</w:t>
            </w:r>
          </w:p>
        </w:tc>
        <w:tc>
          <w:tcPr>
            <w:tcW w:type="dxa" w:w="2045"/>
            <w:shd w:fill="F5F8F6"/>
            <w:vAlign w:val="center"/>
          </w:tcPr>
          <w:p>
            <w:pPr>
              <w:spacing w:after="0"/>
            </w:pPr>
            <w:r/>
            <w:r>
              <w:rPr>
                <w:rFonts w:ascii="Aptos" w:hAnsi="Aptos"/>
                <w:b w:val="0"/>
                <w:color w:val="1F2937"/>
                <w:sz w:val="16"/>
              </w:rPr>
              <w:t>1</w:t>
            </w:r>
          </w:p>
        </w:tc>
        <w:tc>
          <w:tcPr>
            <w:tcW w:type="dxa" w:w="2045"/>
            <w:shd w:fill="F5F8F6"/>
            <w:vAlign w:val="center"/>
          </w:tcPr>
          <w:p>
            <w:pPr>
              <w:spacing w:after="0"/>
            </w:pPr>
            <w:r/>
            <w:r>
              <w:rPr>
                <w:rFonts w:ascii="Aptos" w:hAnsi="Aptos"/>
                <w:b w:val="0"/>
                <w:color w:val="1F2937"/>
                <w:sz w:val="16"/>
              </w:rPr>
              <w:t>2</w:t>
            </w:r>
          </w:p>
        </w:tc>
        <w:tc>
          <w:tcPr>
            <w:tcW w:type="dxa" w:w="2045"/>
            <w:shd w:fill="F5F8F6"/>
            <w:vAlign w:val="center"/>
          </w:tcPr>
          <w:p>
            <w:pPr>
              <w:spacing w:after="0"/>
            </w:pPr>
            <w:r/>
            <w:r>
              <w:rPr>
                <w:rFonts w:ascii="Aptos" w:hAnsi="Aptos"/>
                <w:b w:val="0"/>
                <w:color w:val="1F2937"/>
                <w:sz w:val="16"/>
              </w:rPr>
              <w:t>5</w:t>
            </w:r>
          </w:p>
        </w:tc>
      </w:tr>
      <w:tr>
        <w:tc>
          <w:tcPr>
            <w:tcW w:type="dxa" w:w="2045"/>
            <w:shd w:fill="FFFFFF"/>
            <w:vAlign w:val="center"/>
          </w:tcPr>
          <w:p>
            <w:pPr>
              <w:spacing w:after="0"/>
            </w:pPr>
            <w:r/>
            <w:r>
              <w:rPr>
                <w:rFonts w:ascii="Aptos" w:hAnsi="Aptos"/>
                <w:b w:val="0"/>
                <w:color w:val="1F2937"/>
                <w:sz w:val="16"/>
              </w:rPr>
              <w:t>Team members</w:t>
            </w:r>
          </w:p>
        </w:tc>
        <w:tc>
          <w:tcPr>
            <w:tcW w:type="dxa" w:w="2045"/>
            <w:shd w:fill="FFFFFF"/>
            <w:vAlign w:val="center"/>
          </w:tcPr>
          <w:p>
            <w:pPr>
              <w:spacing w:after="0"/>
            </w:pPr>
            <w:r/>
            <w:r>
              <w:rPr>
                <w:rFonts w:ascii="Aptos" w:hAnsi="Aptos"/>
                <w:b w:val="0"/>
                <w:color w:val="1F2937"/>
                <w:sz w:val="16"/>
              </w:rPr>
              <w:t>1</w:t>
            </w:r>
          </w:p>
        </w:tc>
        <w:tc>
          <w:tcPr>
            <w:tcW w:type="dxa" w:w="2045"/>
            <w:shd w:fill="FFFFFF"/>
            <w:vAlign w:val="center"/>
          </w:tcPr>
          <w:p>
            <w:pPr>
              <w:spacing w:after="0"/>
            </w:pPr>
            <w:r/>
            <w:r>
              <w:rPr>
                <w:rFonts w:ascii="Aptos" w:hAnsi="Aptos"/>
                <w:b w:val="0"/>
                <w:color w:val="1F2937"/>
                <w:sz w:val="16"/>
              </w:rPr>
              <w:t>3</w:t>
            </w:r>
          </w:p>
        </w:tc>
        <w:tc>
          <w:tcPr>
            <w:tcW w:type="dxa" w:w="2045"/>
            <w:shd w:fill="FFFFFF"/>
            <w:vAlign w:val="center"/>
          </w:tcPr>
          <w:p>
            <w:pPr>
              <w:spacing w:after="0"/>
            </w:pPr>
            <w:r/>
            <w:r>
              <w:rPr>
                <w:rFonts w:ascii="Aptos" w:hAnsi="Aptos"/>
                <w:b w:val="0"/>
                <w:color w:val="1F2937"/>
                <w:sz w:val="16"/>
              </w:rPr>
              <w:t>10</w:t>
            </w:r>
          </w:p>
        </w:tc>
        <w:tc>
          <w:tcPr>
            <w:tcW w:type="dxa" w:w="2045"/>
            <w:shd w:fill="FFFFFF"/>
            <w:vAlign w:val="center"/>
          </w:tcPr>
          <w:p>
            <w:pPr>
              <w:spacing w:after="0"/>
            </w:pPr>
            <w:r/>
            <w:r>
              <w:rPr>
                <w:rFonts w:ascii="Aptos" w:hAnsi="Aptos"/>
                <w:b w:val="0"/>
                <w:color w:val="1F2937"/>
                <w:sz w:val="16"/>
              </w:rPr>
              <w:t>25</w:t>
            </w:r>
          </w:p>
        </w:tc>
      </w:tr>
      <w:tr>
        <w:tc>
          <w:tcPr>
            <w:tcW w:type="dxa" w:w="2045"/>
            <w:shd w:fill="F5F8F6"/>
            <w:vAlign w:val="center"/>
          </w:tcPr>
          <w:p>
            <w:pPr>
              <w:spacing w:after="0"/>
            </w:pPr>
            <w:r/>
            <w:r>
              <w:rPr>
                <w:rFonts w:ascii="Aptos" w:hAnsi="Aptos"/>
                <w:b w:val="0"/>
                <w:color w:val="1F2937"/>
                <w:sz w:val="16"/>
              </w:rPr>
              <w:t>Contacts</w:t>
            </w:r>
          </w:p>
        </w:tc>
        <w:tc>
          <w:tcPr>
            <w:tcW w:type="dxa" w:w="2045"/>
            <w:shd w:fill="F5F8F6"/>
            <w:vAlign w:val="center"/>
          </w:tcPr>
          <w:p>
            <w:pPr>
              <w:spacing w:after="0"/>
            </w:pPr>
            <w:r/>
            <w:r>
              <w:rPr>
                <w:rFonts w:ascii="Aptos" w:hAnsi="Aptos"/>
                <w:b w:val="0"/>
                <w:color w:val="1F2937"/>
                <w:sz w:val="16"/>
              </w:rPr>
              <w:t>1,000</w:t>
            </w:r>
          </w:p>
        </w:tc>
        <w:tc>
          <w:tcPr>
            <w:tcW w:type="dxa" w:w="2045"/>
            <w:shd w:fill="F5F8F6"/>
            <w:vAlign w:val="center"/>
          </w:tcPr>
          <w:p>
            <w:pPr>
              <w:spacing w:after="0"/>
            </w:pPr>
            <w:r/>
            <w:r>
              <w:rPr>
                <w:rFonts w:ascii="Aptos" w:hAnsi="Aptos"/>
                <w:b w:val="0"/>
                <w:color w:val="1F2937"/>
                <w:sz w:val="16"/>
              </w:rPr>
              <w:t>5,000</w:t>
            </w:r>
          </w:p>
        </w:tc>
        <w:tc>
          <w:tcPr>
            <w:tcW w:type="dxa" w:w="2045"/>
            <w:shd w:fill="F5F8F6"/>
            <w:vAlign w:val="center"/>
          </w:tcPr>
          <w:p>
            <w:pPr>
              <w:spacing w:after="0"/>
            </w:pPr>
            <w:r/>
            <w:r>
              <w:rPr>
                <w:rFonts w:ascii="Aptos" w:hAnsi="Aptos"/>
                <w:b w:val="0"/>
                <w:color w:val="1F2937"/>
                <w:sz w:val="16"/>
              </w:rPr>
              <w:t>25,000</w:t>
            </w:r>
          </w:p>
        </w:tc>
        <w:tc>
          <w:tcPr>
            <w:tcW w:type="dxa" w:w="2045"/>
            <w:shd w:fill="F5F8F6"/>
            <w:vAlign w:val="center"/>
          </w:tcPr>
          <w:p>
            <w:pPr>
              <w:spacing w:after="0"/>
            </w:pPr>
            <w:r/>
            <w:r>
              <w:rPr>
                <w:rFonts w:ascii="Aptos" w:hAnsi="Aptos"/>
                <w:b w:val="0"/>
                <w:color w:val="1F2937"/>
                <w:sz w:val="16"/>
              </w:rPr>
              <w:t>100,000</w:t>
            </w:r>
          </w:p>
        </w:tc>
      </w:tr>
      <w:tr>
        <w:tc>
          <w:tcPr>
            <w:tcW w:type="dxa" w:w="2045"/>
            <w:shd w:fill="FFFFFF"/>
            <w:vAlign w:val="center"/>
          </w:tcPr>
          <w:p>
            <w:pPr>
              <w:spacing w:after="0"/>
            </w:pPr>
            <w:r/>
            <w:r>
              <w:rPr>
                <w:rFonts w:ascii="Aptos" w:hAnsi="Aptos"/>
                <w:b w:val="0"/>
                <w:color w:val="1F2937"/>
                <w:sz w:val="16"/>
              </w:rPr>
              <w:t>Inbox &amp; CRM</w:t>
            </w:r>
          </w:p>
        </w:tc>
        <w:tc>
          <w:tcPr>
            <w:tcW w:type="dxa" w:w="2045"/>
            <w:shd w:fill="FFFFFF"/>
            <w:vAlign w:val="center"/>
          </w:tcPr>
          <w:p>
            <w:pPr>
              <w:spacing w:after="0"/>
            </w:pPr>
            <w:r/>
            <w:r>
              <w:rPr>
                <w:rFonts w:ascii="Aptos" w:hAnsi="Aptos"/>
                <w:b w:val="0"/>
                <w:color w:val="1F2937"/>
                <w:sz w:val="16"/>
              </w:rPr>
              <w:t>Core</w:t>
            </w:r>
          </w:p>
        </w:tc>
        <w:tc>
          <w:tcPr>
            <w:tcW w:type="dxa" w:w="2045"/>
            <w:shd w:fill="FFFFFF"/>
            <w:vAlign w:val="center"/>
          </w:tcPr>
          <w:p>
            <w:pPr>
              <w:spacing w:after="0"/>
            </w:pPr>
            <w:r/>
            <w:r>
              <w:rPr>
                <w:rFonts w:ascii="Aptos" w:hAnsi="Aptos"/>
                <w:b w:val="0"/>
                <w:color w:val="1F2937"/>
                <w:sz w:val="16"/>
              </w:rPr>
              <w:t>✓</w:t>
            </w:r>
          </w:p>
        </w:tc>
        <w:tc>
          <w:tcPr>
            <w:tcW w:type="dxa" w:w="2045"/>
            <w:shd w:fill="FFFFFF"/>
            <w:vAlign w:val="center"/>
          </w:tcPr>
          <w:p>
            <w:pPr>
              <w:spacing w:after="0"/>
            </w:pPr>
            <w:r/>
            <w:r>
              <w:rPr>
                <w:rFonts w:ascii="Aptos" w:hAnsi="Aptos"/>
                <w:b w:val="0"/>
                <w:color w:val="1F2937"/>
                <w:sz w:val="16"/>
              </w:rPr>
              <w:t>Advanced</w:t>
            </w:r>
          </w:p>
        </w:tc>
        <w:tc>
          <w:tcPr>
            <w:tcW w:type="dxa" w:w="2045"/>
            <w:shd w:fill="FFFFFF"/>
            <w:vAlign w:val="center"/>
          </w:tcPr>
          <w:p>
            <w:pPr>
              <w:spacing w:after="0"/>
            </w:pPr>
            <w:r/>
            <w:r>
              <w:rPr>
                <w:rFonts w:ascii="Aptos" w:hAnsi="Aptos"/>
                <w:b w:val="0"/>
                <w:color w:val="1F2937"/>
                <w:sz w:val="16"/>
              </w:rPr>
              <w:t>Advanced</w:t>
            </w:r>
          </w:p>
        </w:tc>
      </w:tr>
      <w:tr>
        <w:tc>
          <w:tcPr>
            <w:tcW w:type="dxa" w:w="2045"/>
            <w:shd w:fill="F5F8F6"/>
            <w:vAlign w:val="center"/>
          </w:tcPr>
          <w:p>
            <w:pPr>
              <w:spacing w:after="0"/>
            </w:pPr>
            <w:r/>
            <w:r>
              <w:rPr>
                <w:rFonts w:ascii="Aptos" w:hAnsi="Aptos"/>
                <w:b w:val="0"/>
                <w:color w:val="1F2937"/>
                <w:sz w:val="16"/>
              </w:rPr>
              <w:t>Automation</w:t>
            </w:r>
          </w:p>
        </w:tc>
        <w:tc>
          <w:tcPr>
            <w:tcW w:type="dxa" w:w="2045"/>
            <w:shd w:fill="F5F8F6"/>
            <w:vAlign w:val="center"/>
          </w:tcPr>
          <w:p>
            <w:pPr>
              <w:spacing w:after="0"/>
            </w:pPr>
            <w:r/>
            <w:r>
              <w:rPr>
                <w:rFonts w:ascii="Aptos" w:hAnsi="Aptos"/>
                <w:b w:val="0"/>
                <w:color w:val="1F2937"/>
                <w:sz w:val="16"/>
              </w:rPr>
              <w:t>1 workflow</w:t>
            </w:r>
          </w:p>
        </w:tc>
        <w:tc>
          <w:tcPr>
            <w:tcW w:type="dxa" w:w="2045"/>
            <w:shd w:fill="F5F8F6"/>
            <w:vAlign w:val="center"/>
          </w:tcPr>
          <w:p>
            <w:pPr>
              <w:spacing w:after="0"/>
            </w:pPr>
            <w:r/>
            <w:r>
              <w:rPr>
                <w:rFonts w:ascii="Aptos" w:hAnsi="Aptos"/>
                <w:b w:val="0"/>
                <w:color w:val="1F2937"/>
                <w:sz w:val="16"/>
              </w:rPr>
              <w:t>5 workflows</w:t>
            </w:r>
          </w:p>
        </w:tc>
        <w:tc>
          <w:tcPr>
            <w:tcW w:type="dxa" w:w="2045"/>
            <w:shd w:fill="F5F8F6"/>
            <w:vAlign w:val="center"/>
          </w:tcPr>
          <w:p>
            <w:pPr>
              <w:spacing w:after="0"/>
            </w:pPr>
            <w:r/>
            <w:r>
              <w:rPr>
                <w:rFonts w:ascii="Aptos" w:hAnsi="Aptos"/>
                <w:b w:val="0"/>
                <w:color w:val="1F2937"/>
                <w:sz w:val="16"/>
              </w:rPr>
              <w:t>Unlimited</w:t>
            </w:r>
          </w:p>
        </w:tc>
        <w:tc>
          <w:tcPr>
            <w:tcW w:type="dxa" w:w="2045"/>
            <w:shd w:fill="F5F8F6"/>
            <w:vAlign w:val="center"/>
          </w:tcPr>
          <w:p>
            <w:pPr>
              <w:spacing w:after="0"/>
            </w:pPr>
            <w:r/>
            <w:r>
              <w:rPr>
                <w:rFonts w:ascii="Aptos" w:hAnsi="Aptos"/>
                <w:b w:val="0"/>
                <w:color w:val="1F2937"/>
                <w:sz w:val="16"/>
              </w:rPr>
              <w:t>Unlimited</w:t>
            </w:r>
          </w:p>
        </w:tc>
      </w:tr>
      <w:tr>
        <w:tc>
          <w:tcPr>
            <w:tcW w:type="dxa" w:w="2045"/>
            <w:shd w:fill="FFFFFF"/>
            <w:vAlign w:val="center"/>
          </w:tcPr>
          <w:p>
            <w:pPr>
              <w:spacing w:after="0"/>
            </w:pPr>
            <w:r/>
            <w:r>
              <w:rPr>
                <w:rFonts w:ascii="Aptos" w:hAnsi="Aptos"/>
                <w:b w:val="0"/>
                <w:color w:val="1F2937"/>
                <w:sz w:val="16"/>
              </w:rPr>
              <w:t>AI Assistant</w:t>
            </w:r>
          </w:p>
        </w:tc>
        <w:tc>
          <w:tcPr>
            <w:tcW w:type="dxa" w:w="2045"/>
            <w:shd w:fill="FFFFFF"/>
            <w:vAlign w:val="center"/>
          </w:tcPr>
          <w:p>
            <w:pPr>
              <w:spacing w:after="0"/>
            </w:pPr>
            <w:r/>
            <w:r>
              <w:rPr>
                <w:rFonts w:ascii="Aptos" w:hAnsi="Aptos"/>
                <w:b w:val="0"/>
                <w:color w:val="1F2937"/>
                <w:sz w:val="16"/>
              </w:rPr>
              <w:t>—</w:t>
            </w:r>
          </w:p>
        </w:tc>
        <w:tc>
          <w:tcPr>
            <w:tcW w:type="dxa" w:w="2045"/>
            <w:shd w:fill="FFFFFF"/>
            <w:vAlign w:val="center"/>
          </w:tcPr>
          <w:p>
            <w:pPr>
              <w:spacing w:after="0"/>
            </w:pPr>
            <w:r/>
            <w:r>
              <w:rPr>
                <w:rFonts w:ascii="Aptos" w:hAnsi="Aptos"/>
                <w:b w:val="0"/>
                <w:color w:val="1F2937"/>
                <w:sz w:val="16"/>
              </w:rPr>
              <w:t>—</w:t>
            </w:r>
          </w:p>
        </w:tc>
        <w:tc>
          <w:tcPr>
            <w:tcW w:type="dxa" w:w="2045"/>
            <w:shd w:fill="FFFFFF"/>
            <w:vAlign w:val="center"/>
          </w:tcPr>
          <w:p>
            <w:pPr>
              <w:spacing w:after="0"/>
            </w:pPr>
            <w:r/>
            <w:r>
              <w:rPr>
                <w:rFonts w:ascii="Aptos" w:hAnsi="Aptos"/>
                <w:b w:val="0"/>
                <w:color w:val="1F2937"/>
                <w:sz w:val="16"/>
              </w:rPr>
              <w:t>Included</w:t>
            </w:r>
          </w:p>
        </w:tc>
        <w:tc>
          <w:tcPr>
            <w:tcW w:type="dxa" w:w="2045"/>
            <w:shd w:fill="FFFFFF"/>
            <w:vAlign w:val="center"/>
          </w:tcPr>
          <w:p>
            <w:pPr>
              <w:spacing w:after="0"/>
            </w:pPr>
            <w:r/>
            <w:r>
              <w:rPr>
                <w:rFonts w:ascii="Aptos" w:hAnsi="Aptos"/>
                <w:b w:val="0"/>
                <w:color w:val="1F2937"/>
                <w:sz w:val="16"/>
              </w:rPr>
              <w:t>Advanced</w:t>
            </w:r>
          </w:p>
        </w:tc>
      </w:tr>
      <w:tr>
        <w:tc>
          <w:tcPr>
            <w:tcW w:type="dxa" w:w="2045"/>
            <w:shd w:fill="F5F8F6"/>
            <w:vAlign w:val="center"/>
          </w:tcPr>
          <w:p>
            <w:pPr>
              <w:spacing w:after="0"/>
            </w:pPr>
            <w:r/>
            <w:r>
              <w:rPr>
                <w:rFonts w:ascii="Aptos" w:hAnsi="Aptos"/>
                <w:b w:val="0"/>
                <w:color w:val="1F2937"/>
                <w:sz w:val="16"/>
              </w:rPr>
              <w:t>Analytics</w:t>
            </w:r>
          </w:p>
        </w:tc>
        <w:tc>
          <w:tcPr>
            <w:tcW w:type="dxa" w:w="2045"/>
            <w:shd w:fill="F5F8F6"/>
            <w:vAlign w:val="center"/>
          </w:tcPr>
          <w:p>
            <w:pPr>
              <w:spacing w:after="0"/>
            </w:pPr>
            <w:r/>
            <w:r>
              <w:rPr>
                <w:rFonts w:ascii="Aptos" w:hAnsi="Aptos"/>
                <w:b w:val="0"/>
                <w:color w:val="1F2937"/>
                <w:sz w:val="16"/>
              </w:rPr>
              <w:t>Basic</w:t>
            </w:r>
          </w:p>
        </w:tc>
        <w:tc>
          <w:tcPr>
            <w:tcW w:type="dxa" w:w="2045"/>
            <w:shd w:fill="F5F8F6"/>
            <w:vAlign w:val="center"/>
          </w:tcPr>
          <w:p>
            <w:pPr>
              <w:spacing w:after="0"/>
            </w:pPr>
            <w:r/>
            <w:r>
              <w:rPr>
                <w:rFonts w:ascii="Aptos" w:hAnsi="Aptos"/>
                <w:b w:val="0"/>
                <w:color w:val="1F2937"/>
                <w:sz w:val="16"/>
              </w:rPr>
              <w:t>Basic</w:t>
            </w:r>
          </w:p>
        </w:tc>
        <w:tc>
          <w:tcPr>
            <w:tcW w:type="dxa" w:w="2045"/>
            <w:shd w:fill="F5F8F6"/>
            <w:vAlign w:val="center"/>
          </w:tcPr>
          <w:p>
            <w:pPr>
              <w:spacing w:after="0"/>
            </w:pPr>
            <w:r/>
            <w:r>
              <w:rPr>
                <w:rFonts w:ascii="Aptos" w:hAnsi="Aptos"/>
                <w:b w:val="0"/>
                <w:color w:val="1F2937"/>
                <w:sz w:val="16"/>
              </w:rPr>
              <w:t>Advanced</w:t>
            </w:r>
          </w:p>
        </w:tc>
        <w:tc>
          <w:tcPr>
            <w:tcW w:type="dxa" w:w="2045"/>
            <w:shd w:fill="F5F8F6"/>
            <w:vAlign w:val="center"/>
          </w:tcPr>
          <w:p>
            <w:pPr>
              <w:spacing w:after="0"/>
            </w:pPr>
            <w:r/>
            <w:r>
              <w:rPr>
                <w:rFonts w:ascii="Aptos" w:hAnsi="Aptos"/>
                <w:b w:val="0"/>
                <w:color w:val="1F2937"/>
                <w:sz w:val="16"/>
              </w:rPr>
              <w:t>Advanced</w:t>
            </w:r>
          </w:p>
        </w:tc>
      </w:tr>
      <w:tr>
        <w:tc>
          <w:tcPr>
            <w:tcW w:type="dxa" w:w="2045"/>
            <w:shd w:fill="FFFFFF"/>
            <w:vAlign w:val="center"/>
          </w:tcPr>
          <w:p>
            <w:pPr>
              <w:spacing w:after="0"/>
            </w:pPr>
            <w:r/>
            <w:r>
              <w:rPr>
                <w:rFonts w:ascii="Aptos" w:hAnsi="Aptos"/>
                <w:b w:val="0"/>
                <w:color w:val="1F2937"/>
                <w:sz w:val="16"/>
              </w:rPr>
              <w:t>Support</w:t>
            </w:r>
          </w:p>
        </w:tc>
        <w:tc>
          <w:tcPr>
            <w:tcW w:type="dxa" w:w="2045"/>
            <w:shd w:fill="FFFFFF"/>
            <w:vAlign w:val="center"/>
          </w:tcPr>
          <w:p>
            <w:pPr>
              <w:spacing w:after="0"/>
            </w:pPr>
            <w:r/>
            <w:r>
              <w:rPr>
                <w:rFonts w:ascii="Aptos" w:hAnsi="Aptos"/>
                <w:b w:val="0"/>
                <w:color w:val="1F2937"/>
                <w:sz w:val="16"/>
              </w:rPr>
              <w:t>Community</w:t>
            </w:r>
          </w:p>
        </w:tc>
        <w:tc>
          <w:tcPr>
            <w:tcW w:type="dxa" w:w="2045"/>
            <w:shd w:fill="FFFFFF"/>
            <w:vAlign w:val="center"/>
          </w:tcPr>
          <w:p>
            <w:pPr>
              <w:spacing w:after="0"/>
            </w:pPr>
            <w:r/>
            <w:r>
              <w:rPr>
                <w:rFonts w:ascii="Aptos" w:hAnsi="Aptos"/>
                <w:b w:val="0"/>
                <w:color w:val="1F2937"/>
                <w:sz w:val="16"/>
              </w:rPr>
              <w:t>Email</w:t>
            </w:r>
          </w:p>
        </w:tc>
        <w:tc>
          <w:tcPr>
            <w:tcW w:type="dxa" w:w="2045"/>
            <w:shd w:fill="FFFFFF"/>
            <w:vAlign w:val="center"/>
          </w:tcPr>
          <w:p>
            <w:pPr>
              <w:spacing w:after="0"/>
            </w:pPr>
            <w:r/>
            <w:r>
              <w:rPr>
                <w:rFonts w:ascii="Aptos" w:hAnsi="Aptos"/>
                <w:b w:val="0"/>
                <w:color w:val="1F2937"/>
                <w:sz w:val="16"/>
              </w:rPr>
              <w:t>Priority</w:t>
            </w:r>
          </w:p>
        </w:tc>
        <w:tc>
          <w:tcPr>
            <w:tcW w:type="dxa" w:w="2045"/>
            <w:shd w:fill="FFFFFF"/>
            <w:vAlign w:val="center"/>
          </w:tcPr>
          <w:p>
            <w:pPr>
              <w:spacing w:after="0"/>
            </w:pPr>
            <w:r/>
            <w:r>
              <w:rPr>
                <w:rFonts w:ascii="Aptos" w:hAnsi="Aptos"/>
                <w:b w:val="0"/>
                <w:color w:val="1F2937"/>
                <w:sz w:val="16"/>
              </w:rPr>
              <w:t>Priority</w:t>
            </w:r>
          </w:p>
        </w:tc>
      </w:tr>
    </w:tbl>
    <w:p>
      <w:pPr>
        <w:pStyle w:val="Heading3"/>
        <w:spacing w:after="120"/>
      </w:pPr>
      <w:r>
        <w:t>Microcopy beneath cards</w:t>
      </w:r>
    </w:p>
    <w:p>
      <w:pPr>
        <w:spacing w:after="120"/>
      </w:pPr>
      <w:r>
        <w:t>“Platform subscription covers the Samyoj product. WhatsApp/Meta message charges and AI/voice usage are billed based on actual usage.”</w:t>
      </w:r>
    </w:p>
    <w:p>
      <w:pPr>
        <w:pStyle w:val="Heading2"/>
        <w:spacing w:after="120"/>
      </w:pPr>
      <w:r>
        <w:t>4.3 The 3-part bill explainer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1F37"/>
            <w:vAlign w:val="center"/>
          </w:tcPr>
          <w:p>
            <w:pPr>
              <w:spacing w:after="0"/>
            </w:pPr>
            <w:r/>
            <w:r>
              <w:rPr>
                <w:rFonts w:ascii="Aptos" w:hAnsi="Aptos"/>
                <w:b/>
                <w:color w:val="FFFFFF"/>
                <w:sz w:val="16"/>
              </w:rPr>
              <w:t>Card</w:t>
            </w:r>
          </w:p>
        </w:tc>
        <w:tc>
          <w:tcPr>
            <w:tcW w:type="dxa" w:w="3408"/>
            <w:shd w:fill="0F1F37"/>
            <w:vAlign w:val="center"/>
          </w:tcPr>
          <w:p>
            <w:pPr>
              <w:spacing w:after="0"/>
            </w:pPr>
            <w:r/>
            <w:r>
              <w:rPr>
                <w:rFonts w:ascii="Aptos" w:hAnsi="Aptos"/>
                <w:b/>
                <w:color w:val="FFFFFF"/>
                <w:sz w:val="16"/>
              </w:rPr>
              <w:t>Title</w:t>
            </w:r>
          </w:p>
        </w:tc>
        <w:tc>
          <w:tcPr>
            <w:tcW w:type="dxa" w:w="3408"/>
            <w:shd w:fill="0F1F37"/>
            <w:vAlign w:val="center"/>
          </w:tcPr>
          <w:p>
            <w:pPr>
              <w:spacing w:after="0"/>
            </w:pPr>
            <w:r/>
            <w:r>
              <w:rPr>
                <w:rFonts w:ascii="Aptos" w:hAnsi="Aptos"/>
                <w:b/>
                <w:color w:val="FFFFFF"/>
                <w:sz w:val="16"/>
              </w:rPr>
              <w:t>User-facing explanation</w:t>
            </w:r>
          </w:p>
        </w:tc>
      </w:tr>
      <w:tr>
        <w:tc>
          <w:tcPr>
            <w:tcW w:type="dxa" w:w="3408"/>
            <w:shd w:fill="F5F8F6"/>
            <w:vAlign w:val="center"/>
          </w:tcPr>
          <w:p>
            <w:pPr>
              <w:spacing w:after="0"/>
            </w:pPr>
            <w:r/>
            <w:r>
              <w:rPr>
                <w:rFonts w:ascii="Aptos" w:hAnsi="Aptos"/>
                <w:b w:val="0"/>
                <w:color w:val="1F2937"/>
                <w:sz w:val="16"/>
              </w:rPr>
              <w:t>01</w:t>
            </w:r>
          </w:p>
        </w:tc>
        <w:tc>
          <w:tcPr>
            <w:tcW w:type="dxa" w:w="3408"/>
            <w:shd w:fill="F5F8F6"/>
            <w:vAlign w:val="center"/>
          </w:tcPr>
          <w:p>
            <w:pPr>
              <w:spacing w:after="0"/>
            </w:pPr>
            <w:r/>
            <w:r>
              <w:rPr>
                <w:rFonts w:ascii="Aptos" w:hAnsi="Aptos"/>
                <w:b w:val="0"/>
                <w:color w:val="1F2937"/>
                <w:sz w:val="16"/>
              </w:rPr>
              <w:t>Samyoj plan</w:t>
            </w:r>
          </w:p>
        </w:tc>
        <w:tc>
          <w:tcPr>
            <w:tcW w:type="dxa" w:w="3408"/>
            <w:shd w:fill="F5F8F6"/>
            <w:vAlign w:val="center"/>
          </w:tcPr>
          <w:p>
            <w:pPr>
              <w:spacing w:after="0"/>
            </w:pPr>
            <w:r/>
            <w:r>
              <w:rPr>
                <w:rFonts w:ascii="Aptos" w:hAnsi="Aptos"/>
                <w:b w:val="0"/>
                <w:color w:val="1F2937"/>
                <w:sz w:val="16"/>
              </w:rPr>
              <w:t>Your software subscription: inbox, CRM, automation, team features and plan-level AI capabilities.</w:t>
            </w:r>
          </w:p>
        </w:tc>
      </w:tr>
      <w:tr>
        <w:tc>
          <w:tcPr>
            <w:tcW w:type="dxa" w:w="3408"/>
            <w:shd w:fill="FFFFFF"/>
            <w:vAlign w:val="center"/>
          </w:tcPr>
          <w:p>
            <w:pPr>
              <w:spacing w:after="0"/>
            </w:pPr>
            <w:r/>
            <w:r>
              <w:rPr>
                <w:rFonts w:ascii="Aptos" w:hAnsi="Aptos"/>
                <w:b w:val="0"/>
                <w:color w:val="1F2937"/>
                <w:sz w:val="16"/>
              </w:rPr>
              <w:t>02</w:t>
            </w:r>
          </w:p>
        </w:tc>
        <w:tc>
          <w:tcPr>
            <w:tcW w:type="dxa" w:w="3408"/>
            <w:shd w:fill="FFFFFF"/>
            <w:vAlign w:val="center"/>
          </w:tcPr>
          <w:p>
            <w:pPr>
              <w:spacing w:after="0"/>
            </w:pPr>
            <w:r/>
            <w:r>
              <w:rPr>
                <w:rFonts w:ascii="Aptos" w:hAnsi="Aptos"/>
                <w:b w:val="0"/>
                <w:color w:val="1F2937"/>
                <w:sz w:val="16"/>
              </w:rPr>
              <w:t>WhatsApp / Meta usage</w:t>
            </w:r>
          </w:p>
        </w:tc>
        <w:tc>
          <w:tcPr>
            <w:tcW w:type="dxa" w:w="3408"/>
            <w:shd w:fill="FFFFFF"/>
            <w:vAlign w:val="center"/>
          </w:tcPr>
          <w:p>
            <w:pPr>
              <w:spacing w:after="0"/>
            </w:pPr>
            <w:r/>
            <w:r>
              <w:rPr>
                <w:rFonts w:ascii="Aptos" w:hAnsi="Aptos"/>
                <w:b w:val="0"/>
                <w:color w:val="1F2937"/>
                <w:sz w:val="16"/>
              </w:rPr>
              <w:t>Meta charges separately for applicable WhatsApp template messages. Rates depend on message category and recipient market.</w:t>
            </w:r>
          </w:p>
        </w:tc>
      </w:tr>
      <w:tr>
        <w:tc>
          <w:tcPr>
            <w:tcW w:type="dxa" w:w="3408"/>
            <w:shd w:fill="F5F8F6"/>
            <w:vAlign w:val="center"/>
          </w:tcPr>
          <w:p>
            <w:pPr>
              <w:spacing w:after="0"/>
            </w:pPr>
            <w:r/>
            <w:r>
              <w:rPr>
                <w:rFonts w:ascii="Aptos" w:hAnsi="Aptos"/>
                <w:b w:val="0"/>
                <w:color w:val="1F2937"/>
                <w:sz w:val="16"/>
              </w:rPr>
              <w:t>03</w:t>
            </w:r>
          </w:p>
        </w:tc>
        <w:tc>
          <w:tcPr>
            <w:tcW w:type="dxa" w:w="3408"/>
            <w:shd w:fill="F5F8F6"/>
            <w:vAlign w:val="center"/>
          </w:tcPr>
          <w:p>
            <w:pPr>
              <w:spacing w:after="0"/>
            </w:pPr>
            <w:r/>
            <w:r>
              <w:rPr>
                <w:rFonts w:ascii="Aptos" w:hAnsi="Aptos"/>
                <w:b w:val="0"/>
                <w:color w:val="1F2937"/>
                <w:sz w:val="16"/>
              </w:rPr>
              <w:t>AI / Voice usage</w:t>
            </w:r>
          </w:p>
        </w:tc>
        <w:tc>
          <w:tcPr>
            <w:tcW w:type="dxa" w:w="3408"/>
            <w:shd w:fill="F5F8F6"/>
            <w:vAlign w:val="center"/>
          </w:tcPr>
          <w:p>
            <w:pPr>
              <w:spacing w:after="0"/>
            </w:pPr>
            <w:r/>
            <w:r>
              <w:rPr>
                <w:rFonts w:ascii="Aptos" w:hAnsi="Aptos"/>
                <w:b w:val="0"/>
                <w:color w:val="1F2937"/>
                <w:sz w:val="16"/>
              </w:rPr>
              <w:t>AI and voice services are metered by usage. Show an estimate or usage dashboard rather than hiding it inside “unlimited”.</w:t>
            </w:r>
          </w:p>
        </w:tc>
      </w:tr>
    </w:tbl>
    <w:p>
      <w:pPr>
        <w:pStyle w:val="Callout"/>
        <w:spacing w:after="120"/>
      </w:pPr>
      <w:r>
        <w:t>Design: three compact cards with simple line icons. Avoid showing rate tables here. Add one “See usage details” text link to a detailed anchor or modal.</w:t>
      </w:r>
    </w:p>
    <w:p>
      <w:pPr>
        <w:pStyle w:val="Heading2"/>
        <w:spacing w:after="120"/>
      </w:pPr>
      <w:r>
        <w:t>4.4 Feature comparison</w:t>
      </w:r>
    </w:p>
    <w:p>
      <w:pPr>
        <w:spacing w:after="120"/>
      </w:pPr>
      <w:r>
        <w:t>The top of the table should contain only the decision-making rows. Hide secondary rows behind “View all features”. This creates the illusion of simplicity without removing detail.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1F37"/>
            <w:vAlign w:val="center"/>
          </w:tcPr>
          <w:p>
            <w:pPr>
              <w:spacing w:after="0"/>
            </w:pPr>
            <w:r/>
            <w:r>
              <w:rPr>
                <w:rFonts w:ascii="Aptos" w:hAnsi="Aptos"/>
                <w:b/>
                <w:color w:val="FFFFFF"/>
                <w:sz w:val="16"/>
              </w:rPr>
              <w:t>Priority</w:t>
            </w:r>
          </w:p>
        </w:tc>
        <w:tc>
          <w:tcPr>
            <w:tcW w:type="dxa" w:w="3408"/>
            <w:shd w:fill="0F1F37"/>
            <w:vAlign w:val="center"/>
          </w:tcPr>
          <w:p>
            <w:pPr>
              <w:spacing w:after="0"/>
            </w:pPr>
            <w:r/>
            <w:r>
              <w:rPr>
                <w:rFonts w:ascii="Aptos" w:hAnsi="Aptos"/>
                <w:b/>
                <w:color w:val="FFFFFF"/>
                <w:sz w:val="16"/>
              </w:rPr>
              <w:t>Row label to show</w:t>
            </w:r>
          </w:p>
        </w:tc>
        <w:tc>
          <w:tcPr>
            <w:tcW w:type="dxa" w:w="3408"/>
            <w:shd w:fill="0F1F37"/>
            <w:vAlign w:val="center"/>
          </w:tcPr>
          <w:p>
            <w:pPr>
              <w:spacing w:after="0"/>
            </w:pPr>
            <w:r/>
            <w:r>
              <w:rPr>
                <w:rFonts w:ascii="Aptos" w:hAnsi="Aptos"/>
                <w:b/>
                <w:color w:val="FFFFFF"/>
                <w:sz w:val="16"/>
              </w:rPr>
              <w:t>Why it matters</w:t>
            </w:r>
          </w:p>
        </w:tc>
      </w:tr>
      <w:tr>
        <w:tc>
          <w:tcPr>
            <w:tcW w:type="dxa" w:w="3408"/>
            <w:shd w:fill="F5F8F6"/>
            <w:vAlign w:val="center"/>
          </w:tcPr>
          <w:p>
            <w:pPr>
              <w:spacing w:after="0"/>
            </w:pPr>
            <w:r/>
            <w:r>
              <w:rPr>
                <w:rFonts w:ascii="Aptos" w:hAnsi="Aptos"/>
                <w:b w:val="0"/>
                <w:color w:val="1F2937"/>
                <w:sz w:val="16"/>
              </w:rPr>
              <w:t>P0</w:t>
            </w:r>
          </w:p>
        </w:tc>
        <w:tc>
          <w:tcPr>
            <w:tcW w:type="dxa" w:w="3408"/>
            <w:shd w:fill="F5F8F6"/>
            <w:vAlign w:val="center"/>
          </w:tcPr>
          <w:p>
            <w:pPr>
              <w:spacing w:after="0"/>
            </w:pPr>
            <w:r/>
            <w:r>
              <w:rPr>
                <w:rFonts w:ascii="Aptos" w:hAnsi="Aptos"/>
                <w:b w:val="0"/>
                <w:color w:val="1F2937"/>
                <w:sz w:val="16"/>
              </w:rPr>
              <w:t>WhatsApp numbers</w:t>
            </w:r>
          </w:p>
        </w:tc>
        <w:tc>
          <w:tcPr>
            <w:tcW w:type="dxa" w:w="3408"/>
            <w:shd w:fill="F5F8F6"/>
            <w:vAlign w:val="center"/>
          </w:tcPr>
          <w:p>
            <w:pPr>
              <w:spacing w:after="0"/>
            </w:pPr>
            <w:r/>
            <w:r>
              <w:rPr>
                <w:rFonts w:ascii="Aptos" w:hAnsi="Aptos"/>
                <w:b w:val="0"/>
                <w:color w:val="1F2937"/>
                <w:sz w:val="16"/>
              </w:rPr>
              <w:t>Determines whether the business can manage multiple business numbers.</w:t>
            </w:r>
          </w:p>
        </w:tc>
      </w:tr>
      <w:tr>
        <w:tc>
          <w:tcPr>
            <w:tcW w:type="dxa" w:w="3408"/>
            <w:shd w:fill="FFFFFF"/>
            <w:vAlign w:val="center"/>
          </w:tcPr>
          <w:p>
            <w:pPr>
              <w:spacing w:after="0"/>
            </w:pPr>
            <w:r/>
            <w:r>
              <w:rPr>
                <w:rFonts w:ascii="Aptos" w:hAnsi="Aptos"/>
                <w:b w:val="0"/>
                <w:color w:val="1F2937"/>
                <w:sz w:val="16"/>
              </w:rPr>
              <w:t>P0</w:t>
            </w:r>
          </w:p>
        </w:tc>
        <w:tc>
          <w:tcPr>
            <w:tcW w:type="dxa" w:w="3408"/>
            <w:shd w:fill="FFFFFF"/>
            <w:vAlign w:val="center"/>
          </w:tcPr>
          <w:p>
            <w:pPr>
              <w:spacing w:after="0"/>
            </w:pPr>
            <w:r/>
            <w:r>
              <w:rPr>
                <w:rFonts w:ascii="Aptos" w:hAnsi="Aptos"/>
                <w:b w:val="0"/>
                <w:color w:val="1F2937"/>
                <w:sz w:val="16"/>
              </w:rPr>
              <w:t>Team members</w:t>
            </w:r>
          </w:p>
        </w:tc>
        <w:tc>
          <w:tcPr>
            <w:tcW w:type="dxa" w:w="3408"/>
            <w:shd w:fill="FFFFFF"/>
            <w:vAlign w:val="center"/>
          </w:tcPr>
          <w:p>
            <w:pPr>
              <w:spacing w:after="0"/>
            </w:pPr>
            <w:r/>
            <w:r>
              <w:rPr>
                <w:rFonts w:ascii="Aptos" w:hAnsi="Aptos"/>
                <w:b w:val="0"/>
                <w:color w:val="1F2937"/>
                <w:sz w:val="16"/>
              </w:rPr>
              <w:t>Directly maps to team use.</w:t>
            </w:r>
          </w:p>
        </w:tc>
      </w:tr>
      <w:tr>
        <w:tc>
          <w:tcPr>
            <w:tcW w:type="dxa" w:w="3408"/>
            <w:shd w:fill="F5F8F6"/>
            <w:vAlign w:val="center"/>
          </w:tcPr>
          <w:p>
            <w:pPr>
              <w:spacing w:after="0"/>
            </w:pPr>
            <w:r/>
            <w:r>
              <w:rPr>
                <w:rFonts w:ascii="Aptos" w:hAnsi="Aptos"/>
                <w:b w:val="0"/>
                <w:color w:val="1F2937"/>
                <w:sz w:val="16"/>
              </w:rPr>
              <w:t>P0</w:t>
            </w:r>
          </w:p>
        </w:tc>
        <w:tc>
          <w:tcPr>
            <w:tcW w:type="dxa" w:w="3408"/>
            <w:shd w:fill="F5F8F6"/>
            <w:vAlign w:val="center"/>
          </w:tcPr>
          <w:p>
            <w:pPr>
              <w:spacing w:after="0"/>
            </w:pPr>
            <w:r/>
            <w:r>
              <w:rPr>
                <w:rFonts w:ascii="Aptos" w:hAnsi="Aptos"/>
                <w:b w:val="0"/>
                <w:color w:val="1F2937"/>
                <w:sz w:val="16"/>
              </w:rPr>
              <w:t>Contacts</w:t>
            </w:r>
          </w:p>
        </w:tc>
        <w:tc>
          <w:tcPr>
            <w:tcW w:type="dxa" w:w="3408"/>
            <w:shd w:fill="F5F8F6"/>
            <w:vAlign w:val="center"/>
          </w:tcPr>
          <w:p>
            <w:pPr>
              <w:spacing w:after="0"/>
            </w:pPr>
            <w:r/>
            <w:r>
              <w:rPr>
                <w:rFonts w:ascii="Aptos" w:hAnsi="Aptos"/>
                <w:b w:val="0"/>
                <w:color w:val="1F2937"/>
                <w:sz w:val="16"/>
              </w:rPr>
              <w:t>Makes scale understandable.</w:t>
            </w:r>
          </w:p>
        </w:tc>
      </w:tr>
      <w:tr>
        <w:tc>
          <w:tcPr>
            <w:tcW w:type="dxa" w:w="3408"/>
            <w:shd w:fill="FFFFFF"/>
            <w:vAlign w:val="center"/>
          </w:tcPr>
          <w:p>
            <w:pPr>
              <w:spacing w:after="0"/>
            </w:pPr>
            <w:r/>
            <w:r>
              <w:rPr>
                <w:rFonts w:ascii="Aptos" w:hAnsi="Aptos"/>
                <w:b w:val="0"/>
                <w:color w:val="1F2937"/>
                <w:sz w:val="16"/>
              </w:rPr>
              <w:t>P0</w:t>
            </w:r>
          </w:p>
        </w:tc>
        <w:tc>
          <w:tcPr>
            <w:tcW w:type="dxa" w:w="3408"/>
            <w:shd w:fill="FFFFFF"/>
            <w:vAlign w:val="center"/>
          </w:tcPr>
          <w:p>
            <w:pPr>
              <w:spacing w:after="0"/>
            </w:pPr>
            <w:r/>
            <w:r>
              <w:rPr>
                <w:rFonts w:ascii="Aptos" w:hAnsi="Aptos"/>
                <w:b w:val="0"/>
                <w:color w:val="1F2937"/>
                <w:sz w:val="16"/>
              </w:rPr>
              <w:t>Shared inbox</w:t>
            </w:r>
          </w:p>
        </w:tc>
        <w:tc>
          <w:tcPr>
            <w:tcW w:type="dxa" w:w="3408"/>
            <w:shd w:fill="FFFFFF"/>
            <w:vAlign w:val="center"/>
          </w:tcPr>
          <w:p>
            <w:pPr>
              <w:spacing w:after="0"/>
            </w:pPr>
            <w:r/>
            <w:r>
              <w:rPr>
                <w:rFonts w:ascii="Aptos" w:hAnsi="Aptos"/>
                <w:b w:val="0"/>
                <w:color w:val="1F2937"/>
                <w:sz w:val="16"/>
              </w:rPr>
              <w:t>Core WhatsApp team workflow.</w:t>
            </w:r>
          </w:p>
        </w:tc>
      </w:tr>
      <w:tr>
        <w:tc>
          <w:tcPr>
            <w:tcW w:type="dxa" w:w="3408"/>
            <w:shd w:fill="F5F8F6"/>
            <w:vAlign w:val="center"/>
          </w:tcPr>
          <w:p>
            <w:pPr>
              <w:spacing w:after="0"/>
            </w:pPr>
            <w:r/>
            <w:r>
              <w:rPr>
                <w:rFonts w:ascii="Aptos" w:hAnsi="Aptos"/>
                <w:b w:val="0"/>
                <w:color w:val="1F2937"/>
                <w:sz w:val="16"/>
              </w:rPr>
              <w:t>P0</w:t>
            </w:r>
          </w:p>
        </w:tc>
        <w:tc>
          <w:tcPr>
            <w:tcW w:type="dxa" w:w="3408"/>
            <w:shd w:fill="F5F8F6"/>
            <w:vAlign w:val="center"/>
          </w:tcPr>
          <w:p>
            <w:pPr>
              <w:spacing w:after="0"/>
            </w:pPr>
            <w:r/>
            <w:r>
              <w:rPr>
                <w:rFonts w:ascii="Aptos" w:hAnsi="Aptos"/>
                <w:b w:val="0"/>
                <w:color w:val="1F2937"/>
                <w:sz w:val="16"/>
              </w:rPr>
              <w:t>CRM</w:t>
            </w:r>
          </w:p>
        </w:tc>
        <w:tc>
          <w:tcPr>
            <w:tcW w:type="dxa" w:w="3408"/>
            <w:shd w:fill="F5F8F6"/>
            <w:vAlign w:val="center"/>
          </w:tcPr>
          <w:p>
            <w:pPr>
              <w:spacing w:after="0"/>
            </w:pPr>
            <w:r/>
            <w:r>
              <w:rPr>
                <w:rFonts w:ascii="Aptos" w:hAnsi="Aptos"/>
                <w:b w:val="0"/>
                <w:color w:val="1F2937"/>
                <w:sz w:val="16"/>
              </w:rPr>
              <w:t>Signals whether this is a sales tool, not just messaging.</w:t>
            </w:r>
          </w:p>
        </w:tc>
      </w:tr>
      <w:tr>
        <w:tc>
          <w:tcPr>
            <w:tcW w:type="dxa" w:w="3408"/>
            <w:shd w:fill="FFFFFF"/>
            <w:vAlign w:val="center"/>
          </w:tcPr>
          <w:p>
            <w:pPr>
              <w:spacing w:after="0"/>
            </w:pPr>
            <w:r/>
            <w:r>
              <w:rPr>
                <w:rFonts w:ascii="Aptos" w:hAnsi="Aptos"/>
                <w:b w:val="0"/>
                <w:color w:val="1F2937"/>
                <w:sz w:val="16"/>
              </w:rPr>
              <w:t>P0</w:t>
            </w:r>
          </w:p>
        </w:tc>
        <w:tc>
          <w:tcPr>
            <w:tcW w:type="dxa" w:w="3408"/>
            <w:shd w:fill="FFFFFF"/>
            <w:vAlign w:val="center"/>
          </w:tcPr>
          <w:p>
            <w:pPr>
              <w:spacing w:after="0"/>
            </w:pPr>
            <w:r/>
            <w:r>
              <w:rPr>
                <w:rFonts w:ascii="Aptos" w:hAnsi="Aptos"/>
                <w:b w:val="0"/>
                <w:color w:val="1F2937"/>
                <w:sz w:val="16"/>
              </w:rPr>
              <w:t>Automation</w:t>
            </w:r>
          </w:p>
        </w:tc>
        <w:tc>
          <w:tcPr>
            <w:tcW w:type="dxa" w:w="3408"/>
            <w:shd w:fill="FFFFFF"/>
            <w:vAlign w:val="center"/>
          </w:tcPr>
          <w:p>
            <w:pPr>
              <w:spacing w:after="0"/>
            </w:pPr>
            <w:r/>
            <w:r>
              <w:rPr>
                <w:rFonts w:ascii="Aptos" w:hAnsi="Aptos"/>
                <w:b w:val="0"/>
                <w:color w:val="1F2937"/>
                <w:sz w:val="16"/>
              </w:rPr>
              <w:t>Communicates ability to reduce repetitive work.</w:t>
            </w:r>
          </w:p>
        </w:tc>
      </w:tr>
      <w:tr>
        <w:tc>
          <w:tcPr>
            <w:tcW w:type="dxa" w:w="3408"/>
            <w:shd w:fill="F5F8F6"/>
            <w:vAlign w:val="center"/>
          </w:tcPr>
          <w:p>
            <w:pPr>
              <w:spacing w:after="0"/>
            </w:pPr>
            <w:r/>
            <w:r>
              <w:rPr>
                <w:rFonts w:ascii="Aptos" w:hAnsi="Aptos"/>
                <w:b w:val="0"/>
                <w:color w:val="1F2937"/>
                <w:sz w:val="16"/>
              </w:rPr>
              <w:t>P0</w:t>
            </w:r>
          </w:p>
        </w:tc>
        <w:tc>
          <w:tcPr>
            <w:tcW w:type="dxa" w:w="3408"/>
            <w:shd w:fill="F5F8F6"/>
            <w:vAlign w:val="center"/>
          </w:tcPr>
          <w:p>
            <w:pPr>
              <w:spacing w:after="0"/>
            </w:pPr>
            <w:r/>
            <w:r>
              <w:rPr>
                <w:rFonts w:ascii="Aptos" w:hAnsi="Aptos"/>
                <w:b w:val="0"/>
                <w:color w:val="1F2937"/>
                <w:sz w:val="16"/>
              </w:rPr>
              <w:t>AI Assistant</w:t>
            </w:r>
          </w:p>
        </w:tc>
        <w:tc>
          <w:tcPr>
            <w:tcW w:type="dxa" w:w="3408"/>
            <w:shd w:fill="F5F8F6"/>
            <w:vAlign w:val="center"/>
          </w:tcPr>
          <w:p>
            <w:pPr>
              <w:spacing w:after="0"/>
            </w:pPr>
            <w:r/>
            <w:r>
              <w:rPr>
                <w:rFonts w:ascii="Aptos" w:hAnsi="Aptos"/>
                <w:b w:val="0"/>
                <w:color w:val="1F2937"/>
                <w:sz w:val="16"/>
              </w:rPr>
              <w:t>Important differentiator for Growth/Pro.</w:t>
            </w:r>
          </w:p>
        </w:tc>
      </w:tr>
      <w:tr>
        <w:tc>
          <w:tcPr>
            <w:tcW w:type="dxa" w:w="3408"/>
            <w:shd w:fill="FFFFFF"/>
            <w:vAlign w:val="center"/>
          </w:tcPr>
          <w:p>
            <w:pPr>
              <w:spacing w:after="0"/>
            </w:pPr>
            <w:r/>
            <w:r>
              <w:rPr>
                <w:rFonts w:ascii="Aptos" w:hAnsi="Aptos"/>
                <w:b w:val="0"/>
                <w:color w:val="1F2937"/>
                <w:sz w:val="16"/>
              </w:rPr>
              <w:t>P1</w:t>
            </w:r>
          </w:p>
        </w:tc>
        <w:tc>
          <w:tcPr>
            <w:tcW w:type="dxa" w:w="3408"/>
            <w:shd w:fill="FFFFFF"/>
            <w:vAlign w:val="center"/>
          </w:tcPr>
          <w:p>
            <w:pPr>
              <w:spacing w:after="0"/>
            </w:pPr>
            <w:r/>
            <w:r>
              <w:rPr>
                <w:rFonts w:ascii="Aptos" w:hAnsi="Aptos"/>
                <w:b w:val="0"/>
                <w:color w:val="1F2937"/>
                <w:sz w:val="16"/>
              </w:rPr>
              <w:t>Analytics</w:t>
            </w:r>
          </w:p>
        </w:tc>
        <w:tc>
          <w:tcPr>
            <w:tcW w:type="dxa" w:w="3408"/>
            <w:shd w:fill="FFFFFF"/>
            <w:vAlign w:val="center"/>
          </w:tcPr>
          <w:p>
            <w:pPr>
              <w:spacing w:after="0"/>
            </w:pPr>
            <w:r/>
            <w:r>
              <w:rPr>
                <w:rFonts w:ascii="Aptos" w:hAnsi="Aptos"/>
                <w:b w:val="0"/>
                <w:color w:val="1F2937"/>
                <w:sz w:val="16"/>
              </w:rPr>
              <w:t>Supports management and optimisation.</w:t>
            </w:r>
          </w:p>
        </w:tc>
      </w:tr>
      <w:tr>
        <w:tc>
          <w:tcPr>
            <w:tcW w:type="dxa" w:w="3408"/>
            <w:shd w:fill="F5F8F6"/>
            <w:vAlign w:val="center"/>
          </w:tcPr>
          <w:p>
            <w:pPr>
              <w:spacing w:after="0"/>
            </w:pPr>
            <w:r/>
            <w:r>
              <w:rPr>
                <w:rFonts w:ascii="Aptos" w:hAnsi="Aptos"/>
                <w:b w:val="0"/>
                <w:color w:val="1F2937"/>
                <w:sz w:val="16"/>
              </w:rPr>
              <w:t>P1</w:t>
            </w:r>
          </w:p>
        </w:tc>
        <w:tc>
          <w:tcPr>
            <w:tcW w:type="dxa" w:w="3408"/>
            <w:shd w:fill="F5F8F6"/>
            <w:vAlign w:val="center"/>
          </w:tcPr>
          <w:p>
            <w:pPr>
              <w:spacing w:after="0"/>
            </w:pPr>
            <w:r/>
            <w:r>
              <w:rPr>
                <w:rFonts w:ascii="Aptos" w:hAnsi="Aptos"/>
                <w:b w:val="0"/>
                <w:color w:val="1F2937"/>
                <w:sz w:val="16"/>
              </w:rPr>
              <w:t>Support</w:t>
            </w:r>
          </w:p>
        </w:tc>
        <w:tc>
          <w:tcPr>
            <w:tcW w:type="dxa" w:w="3408"/>
            <w:shd w:fill="F5F8F6"/>
            <w:vAlign w:val="center"/>
          </w:tcPr>
          <w:p>
            <w:pPr>
              <w:spacing w:after="0"/>
            </w:pPr>
            <w:r/>
            <w:r>
              <w:rPr>
                <w:rFonts w:ascii="Aptos" w:hAnsi="Aptos"/>
                <w:b w:val="0"/>
                <w:color w:val="1F2937"/>
                <w:sz w:val="16"/>
              </w:rPr>
              <w:t>Reduces perceived risk.</w:t>
            </w:r>
          </w:p>
        </w:tc>
      </w:tr>
      <w:tr>
        <w:tc>
          <w:tcPr>
            <w:tcW w:type="dxa" w:w="3408"/>
            <w:shd w:fill="FFFFFF"/>
            <w:vAlign w:val="center"/>
          </w:tcPr>
          <w:p>
            <w:pPr>
              <w:spacing w:after="0"/>
            </w:pPr>
            <w:r/>
            <w:r>
              <w:rPr>
                <w:rFonts w:ascii="Aptos" w:hAnsi="Aptos"/>
                <w:b w:val="0"/>
                <w:color w:val="1F2937"/>
                <w:sz w:val="16"/>
              </w:rPr>
              <w:t>P1</w:t>
            </w:r>
          </w:p>
        </w:tc>
        <w:tc>
          <w:tcPr>
            <w:tcW w:type="dxa" w:w="3408"/>
            <w:shd w:fill="FFFFFF"/>
            <w:vAlign w:val="center"/>
          </w:tcPr>
          <w:p>
            <w:pPr>
              <w:spacing w:after="0"/>
            </w:pPr>
            <w:r/>
            <w:r>
              <w:rPr>
                <w:rFonts w:ascii="Aptos" w:hAnsi="Aptos"/>
                <w:b w:val="0"/>
                <w:color w:val="1F2937"/>
                <w:sz w:val="16"/>
              </w:rPr>
              <w:t>Connect your tools</w:t>
            </w:r>
          </w:p>
        </w:tc>
        <w:tc>
          <w:tcPr>
            <w:tcW w:type="dxa" w:w="3408"/>
            <w:shd w:fill="FFFFFF"/>
            <w:vAlign w:val="center"/>
          </w:tcPr>
          <w:p>
            <w:pPr>
              <w:spacing w:after="0"/>
            </w:pPr>
            <w:r/>
            <w:r>
              <w:rPr>
                <w:rFonts w:ascii="Aptos" w:hAnsi="Aptos"/>
                <w:b w:val="0"/>
                <w:color w:val="1F2937"/>
                <w:sz w:val="16"/>
              </w:rPr>
              <w:t>Keep as a human-friendly label. Put technical details behind an info tooltip or details link.</w:t>
            </w:r>
          </w:p>
        </w:tc>
      </w:tr>
    </w:tbl>
    <w:p>
      <w:pPr>
        <w:pStyle w:val="Callout"/>
        <w:spacing w:after="120"/>
      </w:pPr>
      <w:r>
        <w:t>Avoid binary “✓” overload. Where a limit is meaningful, show the actual limit. Where the feature is identical across plans, use “Included” once rather than four repetitive checkmarks if space is tight.</w:t>
      </w:r>
    </w:p>
    <w:p>
      <w:r>
        <w:br w:type="page"/>
      </w:r>
    </w:p>
    <w:p>
      <w:pPr>
        <w:pStyle w:val="Heading1"/>
        <w:spacing w:after="120"/>
      </w:pPr>
      <w:r>
        <w:t>5. AI / Sarvam presentation on the pricing page</w:t>
      </w:r>
    </w:p>
    <w:p>
      <w:pPr>
        <w:spacing w:after="120"/>
      </w:pPr>
      <w:r>
        <w:t>Sarvam AI is a usage-priced API platform. Current published rates include chat completion priced per 1M tokens, speech-to-text by hour, text-to-speech by characters and other language APIs by characters. Sarvam also publishes a pay-as-you-go starter model and higher prepaid credit tiers. This means Samyoj should not market AI as “unlimited” unless Samyoj has a separate internal cost cap and fair-use policy. citeturn722908search0turn722908search1</w:t>
      </w:r>
    </w:p>
    <w:p>
      <w:pPr>
        <w:pStyle w:val="Heading2"/>
        <w:spacing w:after="120"/>
      </w:pPr>
      <w:r>
        <w:t>What the UI should say</w:t>
      </w:r>
    </w:p>
    <w:p>
      <w:pPr>
        <w:spacing w:after="120"/>
      </w:pPr>
      <w:r>
        <w:t>AI Assistant is included in Growth and Pro. Usage is metered fairly so your bill stays predictable. See AI usage in your dashboard.</w:t>
      </w:r>
    </w:p>
    <w:p>
      <w:pPr>
        <w:pStyle w:val="Heading3"/>
        <w:spacing w:after="120"/>
      </w:pPr>
      <w:r>
        <w:t>Do not display Sarvam brand/rate details in the main plan cards unless legally and commercially necessary. Instead, add a small expandable section: “How AI usage works”. Inside it explain:</w:t>
      </w:r>
    </w:p>
    <w:p>
      <w:pPr>
        <w:pStyle w:val="ListBullet"/>
        <w:spacing w:after="40"/>
      </w:pPr>
      <w:r>
        <w:t>AI replies consume usage based on the underlying AI service.</w:t>
      </w:r>
    </w:p>
    <w:p>
      <w:pPr>
        <w:pStyle w:val="ListBullet"/>
        <w:spacing w:after="40"/>
      </w:pPr>
      <w:r>
        <w:t>Voice features use separate speech services and may be priced differently from text AI.</w:t>
      </w:r>
    </w:p>
    <w:p>
      <w:pPr>
        <w:pStyle w:val="ListBullet"/>
        <w:spacing w:after="40"/>
      </w:pPr>
      <w:r>
        <w:t>The dashboard should expose an AI usage meter and current-period usage.</w:t>
      </w:r>
    </w:p>
    <w:p>
      <w:pPr>
        <w:pStyle w:val="ListBullet"/>
        <w:spacing w:after="40"/>
      </w:pPr>
      <w:r>
        <w:t>If Samyoj later introduces bundled AI credits, surface the included amount explicitly, e.g. “1,000 AI actions/month”, rather than saying “unlimited AI”.</w:t>
      </w:r>
    </w:p>
    <w:p>
      <w:pPr>
        <w:pStyle w:val="Heading2"/>
        <w:spacing w:after="120"/>
      </w:pPr>
      <w:r>
        <w:t>Sarvam research basis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1F37"/>
            <w:vAlign w:val="center"/>
          </w:tcPr>
          <w:p>
            <w:pPr>
              <w:spacing w:after="0"/>
            </w:pPr>
            <w:r/>
            <w:r>
              <w:rPr>
                <w:rFonts w:ascii="Aptos" w:hAnsi="Aptos"/>
                <w:b/>
                <w:color w:val="FFFFFF"/>
                <w:sz w:val="16"/>
              </w:rPr>
              <w:t>Service</w:t>
            </w:r>
          </w:p>
        </w:tc>
        <w:tc>
          <w:tcPr>
            <w:tcW w:type="dxa" w:w="3408"/>
            <w:shd w:fill="0F1F37"/>
            <w:vAlign w:val="center"/>
          </w:tcPr>
          <w:p>
            <w:pPr>
              <w:spacing w:after="0"/>
            </w:pPr>
            <w:r/>
            <w:r>
              <w:rPr>
                <w:rFonts w:ascii="Aptos" w:hAnsi="Aptos"/>
                <w:b/>
                <w:color w:val="FFFFFF"/>
                <w:sz w:val="16"/>
              </w:rPr>
              <w:t>Current public unit</w:t>
            </w:r>
          </w:p>
        </w:tc>
        <w:tc>
          <w:tcPr>
            <w:tcW w:type="dxa" w:w="3408"/>
            <w:shd w:fill="0F1F37"/>
            <w:vAlign w:val="center"/>
          </w:tcPr>
          <w:p>
            <w:pPr>
              <w:spacing w:after="0"/>
            </w:pPr>
            <w:r/>
            <w:r>
              <w:rPr>
                <w:rFonts w:ascii="Aptos" w:hAnsi="Aptos"/>
                <w:b/>
                <w:color w:val="FFFFFF"/>
                <w:sz w:val="16"/>
              </w:rPr>
              <w:t>UI implication</w:t>
            </w:r>
          </w:p>
        </w:tc>
      </w:tr>
      <w:tr>
        <w:tc>
          <w:tcPr>
            <w:tcW w:type="dxa" w:w="3408"/>
            <w:shd w:fill="F5F8F6"/>
            <w:vAlign w:val="center"/>
          </w:tcPr>
          <w:p>
            <w:pPr>
              <w:spacing w:after="0"/>
            </w:pPr>
            <w:r/>
            <w:r>
              <w:rPr>
                <w:rFonts w:ascii="Aptos" w:hAnsi="Aptos"/>
                <w:b w:val="0"/>
                <w:color w:val="1F2937"/>
                <w:sz w:val="16"/>
              </w:rPr>
              <w:t>Chat completion</w:t>
            </w:r>
          </w:p>
        </w:tc>
        <w:tc>
          <w:tcPr>
            <w:tcW w:type="dxa" w:w="3408"/>
            <w:shd w:fill="F5F8F6"/>
            <w:vAlign w:val="center"/>
          </w:tcPr>
          <w:p>
            <w:pPr>
              <w:spacing w:after="0"/>
            </w:pPr>
            <w:r/>
            <w:r>
              <w:rPr>
                <w:rFonts w:ascii="Aptos" w:hAnsi="Aptos"/>
                <w:b w:val="0"/>
                <w:color w:val="1F2937"/>
                <w:sz w:val="16"/>
              </w:rPr>
              <w:t>Per 1M tokens</w:t>
            </w:r>
          </w:p>
        </w:tc>
        <w:tc>
          <w:tcPr>
            <w:tcW w:type="dxa" w:w="3408"/>
            <w:shd w:fill="F5F8F6"/>
            <w:vAlign w:val="center"/>
          </w:tcPr>
          <w:p>
            <w:pPr>
              <w:spacing w:after="0"/>
            </w:pPr>
            <w:r/>
            <w:r>
              <w:rPr>
                <w:rFonts w:ascii="Aptos" w:hAnsi="Aptos"/>
                <w:b w:val="0"/>
                <w:color w:val="1F2937"/>
                <w:sz w:val="16"/>
              </w:rPr>
              <w:t>Use “AI usage” or “AI actions” for customers; keep token economics out of the main pricing card.</w:t>
            </w:r>
          </w:p>
        </w:tc>
      </w:tr>
      <w:tr>
        <w:tc>
          <w:tcPr>
            <w:tcW w:type="dxa" w:w="3408"/>
            <w:shd w:fill="FFFFFF"/>
            <w:vAlign w:val="center"/>
          </w:tcPr>
          <w:p>
            <w:pPr>
              <w:spacing w:after="0"/>
            </w:pPr>
            <w:r/>
            <w:r>
              <w:rPr>
                <w:rFonts w:ascii="Aptos" w:hAnsi="Aptos"/>
                <w:b w:val="0"/>
                <w:color w:val="1F2937"/>
                <w:sz w:val="16"/>
              </w:rPr>
              <w:t>Speech to Text</w:t>
            </w:r>
          </w:p>
        </w:tc>
        <w:tc>
          <w:tcPr>
            <w:tcW w:type="dxa" w:w="3408"/>
            <w:shd w:fill="FFFFFF"/>
            <w:vAlign w:val="center"/>
          </w:tcPr>
          <w:p>
            <w:pPr>
              <w:spacing w:after="0"/>
            </w:pPr>
            <w:r/>
            <w:r>
              <w:rPr>
                <w:rFonts w:ascii="Aptos" w:hAnsi="Aptos"/>
                <w:b w:val="0"/>
                <w:color w:val="1F2937"/>
                <w:sz w:val="16"/>
              </w:rPr>
              <w:t>Per hour of audio</w:t>
            </w:r>
          </w:p>
        </w:tc>
        <w:tc>
          <w:tcPr>
            <w:tcW w:type="dxa" w:w="3408"/>
            <w:shd w:fill="FFFFFF"/>
            <w:vAlign w:val="center"/>
          </w:tcPr>
          <w:p>
            <w:pPr>
              <w:spacing w:after="0"/>
            </w:pPr>
            <w:r/>
            <w:r>
              <w:rPr>
                <w:rFonts w:ascii="Aptos" w:hAnsi="Aptos"/>
                <w:b w:val="0"/>
                <w:color w:val="1F2937"/>
                <w:sz w:val="16"/>
              </w:rPr>
              <w:t>Voice usage needs its own disclosure.</w:t>
            </w:r>
          </w:p>
        </w:tc>
      </w:tr>
      <w:tr>
        <w:tc>
          <w:tcPr>
            <w:tcW w:type="dxa" w:w="3408"/>
            <w:shd w:fill="F5F8F6"/>
            <w:vAlign w:val="center"/>
          </w:tcPr>
          <w:p>
            <w:pPr>
              <w:spacing w:after="0"/>
            </w:pPr>
            <w:r/>
            <w:r>
              <w:rPr>
                <w:rFonts w:ascii="Aptos" w:hAnsi="Aptos"/>
                <w:b w:val="0"/>
                <w:color w:val="1F2937"/>
                <w:sz w:val="16"/>
              </w:rPr>
              <w:t>Text to Speech</w:t>
            </w:r>
          </w:p>
        </w:tc>
        <w:tc>
          <w:tcPr>
            <w:tcW w:type="dxa" w:w="3408"/>
            <w:shd w:fill="F5F8F6"/>
            <w:vAlign w:val="center"/>
          </w:tcPr>
          <w:p>
            <w:pPr>
              <w:spacing w:after="0"/>
            </w:pPr>
            <w:r/>
            <w:r>
              <w:rPr>
                <w:rFonts w:ascii="Aptos" w:hAnsi="Aptos"/>
                <w:b w:val="0"/>
                <w:color w:val="1F2937"/>
                <w:sz w:val="16"/>
              </w:rPr>
              <w:t>Per 10,000 characters</w:t>
            </w:r>
          </w:p>
        </w:tc>
        <w:tc>
          <w:tcPr>
            <w:tcW w:type="dxa" w:w="3408"/>
            <w:shd w:fill="F5F8F6"/>
            <w:vAlign w:val="center"/>
          </w:tcPr>
          <w:p>
            <w:pPr>
              <w:spacing w:after="0"/>
            </w:pPr>
            <w:r/>
            <w:r>
              <w:rPr>
                <w:rFonts w:ascii="Aptos" w:hAnsi="Aptos"/>
                <w:b w:val="0"/>
                <w:color w:val="1F2937"/>
                <w:sz w:val="16"/>
              </w:rPr>
              <w:t>Voice output can create variable cost; do not hide it under unlimited.</w:t>
            </w:r>
          </w:p>
        </w:tc>
      </w:tr>
      <w:tr>
        <w:tc>
          <w:tcPr>
            <w:tcW w:type="dxa" w:w="3408"/>
            <w:shd w:fill="FFFFFF"/>
            <w:vAlign w:val="center"/>
          </w:tcPr>
          <w:p>
            <w:pPr>
              <w:spacing w:after="0"/>
            </w:pPr>
            <w:r/>
            <w:r>
              <w:rPr>
                <w:rFonts w:ascii="Aptos" w:hAnsi="Aptos"/>
                <w:b w:val="0"/>
                <w:color w:val="1F2937"/>
                <w:sz w:val="16"/>
              </w:rPr>
              <w:t>Pay-as-you-go</w:t>
            </w:r>
          </w:p>
        </w:tc>
        <w:tc>
          <w:tcPr>
            <w:tcW w:type="dxa" w:w="3408"/>
            <w:shd w:fill="FFFFFF"/>
            <w:vAlign w:val="center"/>
          </w:tcPr>
          <w:p>
            <w:pPr>
              <w:spacing w:after="0"/>
            </w:pPr>
            <w:r/>
            <w:r>
              <w:rPr>
                <w:rFonts w:ascii="Aptos" w:hAnsi="Aptos"/>
                <w:b w:val="0"/>
                <w:color w:val="1F2937"/>
                <w:sz w:val="16"/>
              </w:rPr>
              <w:t>Published by Sarvam</w:t>
            </w:r>
          </w:p>
        </w:tc>
        <w:tc>
          <w:tcPr>
            <w:tcW w:type="dxa" w:w="3408"/>
            <w:shd w:fill="FFFFFF"/>
            <w:vAlign w:val="center"/>
          </w:tcPr>
          <w:p>
            <w:pPr>
              <w:spacing w:after="0"/>
            </w:pPr>
            <w:r/>
            <w:r>
              <w:rPr>
                <w:rFonts w:ascii="Aptos" w:hAnsi="Aptos"/>
                <w:b w:val="0"/>
                <w:color w:val="1F2937"/>
                <w:sz w:val="16"/>
              </w:rPr>
              <w:t>Supports a metered cost architecture.</w:t>
            </w:r>
          </w:p>
        </w:tc>
      </w:tr>
    </w:tbl>
    <w:p>
      <w:pPr>
        <w:pStyle w:val="Heading1"/>
        <w:spacing w:after="120"/>
      </w:pPr>
      <w:r>
        <w:t>6. Cost estimator UI</w:t>
      </w:r>
    </w:p>
    <w:p>
      <w:pPr>
        <w:spacing w:after="120"/>
      </w:pPr>
      <w:r>
        <w:t>Keep the estimator, but make it a secondary decision tool. The user should first know which plan fits them. Then the estimator answers “what might I actually pay?”.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0F1F37"/>
            <w:vAlign w:val="center"/>
          </w:tcPr>
          <w:p>
            <w:pPr>
              <w:spacing w:after="0"/>
            </w:pPr>
            <w:r/>
            <w:r>
              <w:rPr>
                <w:rFonts w:ascii="Aptos" w:hAnsi="Aptos"/>
                <w:b/>
                <w:color w:val="FFFFFF"/>
                <w:sz w:val="16"/>
              </w:rPr>
              <w:t>Control</w:t>
            </w:r>
          </w:p>
        </w:tc>
        <w:tc>
          <w:tcPr>
            <w:tcW w:type="dxa" w:w="2556"/>
            <w:shd w:fill="0F1F37"/>
            <w:vAlign w:val="center"/>
          </w:tcPr>
          <w:p>
            <w:pPr>
              <w:spacing w:after="0"/>
            </w:pPr>
            <w:r/>
            <w:r>
              <w:rPr>
                <w:rFonts w:ascii="Aptos" w:hAnsi="Aptos"/>
                <w:b/>
                <w:color w:val="FFFFFF"/>
                <w:sz w:val="16"/>
              </w:rPr>
              <w:t>Recommended label</w:t>
            </w:r>
          </w:p>
        </w:tc>
        <w:tc>
          <w:tcPr>
            <w:tcW w:type="dxa" w:w="2556"/>
            <w:shd w:fill="0F1F37"/>
            <w:vAlign w:val="center"/>
          </w:tcPr>
          <w:p>
            <w:pPr>
              <w:spacing w:after="0"/>
            </w:pPr>
            <w:r/>
            <w:r>
              <w:rPr>
                <w:rFonts w:ascii="Aptos" w:hAnsi="Aptos"/>
                <w:b/>
                <w:color w:val="FFFFFF"/>
                <w:sz w:val="16"/>
              </w:rPr>
              <w:t>Default</w:t>
            </w:r>
          </w:p>
        </w:tc>
        <w:tc>
          <w:tcPr>
            <w:tcW w:type="dxa" w:w="2556"/>
            <w:shd w:fill="0F1F37"/>
            <w:vAlign w:val="center"/>
          </w:tcPr>
          <w:p>
            <w:pPr>
              <w:spacing w:after="0"/>
            </w:pPr>
            <w:r/>
            <w:r>
              <w:rPr>
                <w:rFonts w:ascii="Aptos" w:hAnsi="Aptos"/>
                <w:b/>
                <w:color w:val="FFFFFF"/>
                <w:sz w:val="16"/>
              </w:rPr>
              <w:t>Notes</w:t>
            </w:r>
          </w:p>
        </w:tc>
      </w:tr>
      <w:tr>
        <w:tc>
          <w:tcPr>
            <w:tcW w:type="dxa" w:w="2556"/>
            <w:shd w:fill="F5F8F6"/>
            <w:vAlign w:val="center"/>
          </w:tcPr>
          <w:p>
            <w:pPr>
              <w:spacing w:after="0"/>
            </w:pPr>
            <w:r/>
            <w:r>
              <w:rPr>
                <w:rFonts w:ascii="Aptos" w:hAnsi="Aptos"/>
                <w:b w:val="0"/>
                <w:color w:val="1F2937"/>
                <w:sz w:val="16"/>
              </w:rPr>
              <w:t>Plan</w:t>
            </w:r>
          </w:p>
        </w:tc>
        <w:tc>
          <w:tcPr>
            <w:tcW w:type="dxa" w:w="2556"/>
            <w:shd w:fill="F5F8F6"/>
            <w:vAlign w:val="center"/>
          </w:tcPr>
          <w:p>
            <w:pPr>
              <w:spacing w:after="0"/>
            </w:pPr>
            <w:r/>
            <w:r>
              <w:rPr>
                <w:rFonts w:ascii="Aptos" w:hAnsi="Aptos"/>
                <w:b w:val="0"/>
                <w:color w:val="1F2937"/>
                <w:sz w:val="16"/>
              </w:rPr>
              <w:t>Choose a plan</w:t>
            </w:r>
          </w:p>
        </w:tc>
        <w:tc>
          <w:tcPr>
            <w:tcW w:type="dxa" w:w="2556"/>
            <w:shd w:fill="F5F8F6"/>
            <w:vAlign w:val="center"/>
          </w:tcPr>
          <w:p>
            <w:pPr>
              <w:spacing w:after="0"/>
            </w:pPr>
            <w:r/>
            <w:r>
              <w:rPr>
                <w:rFonts w:ascii="Aptos" w:hAnsi="Aptos"/>
                <w:b w:val="0"/>
                <w:color w:val="1F2937"/>
                <w:sz w:val="16"/>
              </w:rPr>
              <w:t>Growth</w:t>
            </w:r>
          </w:p>
        </w:tc>
        <w:tc>
          <w:tcPr>
            <w:tcW w:type="dxa" w:w="2556"/>
            <w:shd w:fill="F5F8F6"/>
            <w:vAlign w:val="center"/>
          </w:tcPr>
          <w:p>
            <w:pPr>
              <w:spacing w:after="0"/>
            </w:pPr>
            <w:r/>
            <w:r>
              <w:rPr>
                <w:rFonts w:ascii="Aptos" w:hAnsi="Aptos"/>
                <w:b w:val="0"/>
                <w:color w:val="1F2937"/>
                <w:sz w:val="16"/>
              </w:rPr>
              <w:t>Sync with pricing card selection.</w:t>
            </w:r>
          </w:p>
        </w:tc>
      </w:tr>
      <w:tr>
        <w:tc>
          <w:tcPr>
            <w:tcW w:type="dxa" w:w="2556"/>
            <w:shd w:fill="FFFFFF"/>
            <w:vAlign w:val="center"/>
          </w:tcPr>
          <w:p>
            <w:pPr>
              <w:spacing w:after="0"/>
            </w:pPr>
            <w:r/>
            <w:r>
              <w:rPr>
                <w:rFonts w:ascii="Aptos" w:hAnsi="Aptos"/>
                <w:b w:val="0"/>
                <w:color w:val="1F2937"/>
                <w:sz w:val="16"/>
              </w:rPr>
              <w:t>Contacts</w:t>
            </w:r>
          </w:p>
        </w:tc>
        <w:tc>
          <w:tcPr>
            <w:tcW w:type="dxa" w:w="2556"/>
            <w:shd w:fill="FFFFFF"/>
            <w:vAlign w:val="center"/>
          </w:tcPr>
          <w:p>
            <w:pPr>
              <w:spacing w:after="0"/>
            </w:pPr>
            <w:r/>
            <w:r>
              <w:rPr>
                <w:rFonts w:ascii="Aptos" w:hAnsi="Aptos"/>
                <w:b w:val="0"/>
                <w:color w:val="1F2937"/>
                <w:sz w:val="16"/>
              </w:rPr>
              <w:t>Active contacts</w:t>
            </w:r>
          </w:p>
        </w:tc>
        <w:tc>
          <w:tcPr>
            <w:tcW w:type="dxa" w:w="2556"/>
            <w:shd w:fill="FFFFFF"/>
            <w:vAlign w:val="center"/>
          </w:tcPr>
          <w:p>
            <w:pPr>
              <w:spacing w:after="0"/>
            </w:pPr>
            <w:r/>
            <w:r>
              <w:rPr>
                <w:rFonts w:ascii="Aptos" w:hAnsi="Aptos"/>
                <w:b w:val="0"/>
                <w:color w:val="1F2937"/>
                <w:sz w:val="16"/>
              </w:rPr>
              <w:t>10,000</w:t>
            </w:r>
          </w:p>
        </w:tc>
        <w:tc>
          <w:tcPr>
            <w:tcW w:type="dxa" w:w="2556"/>
            <w:shd w:fill="FFFFFF"/>
            <w:vAlign w:val="center"/>
          </w:tcPr>
          <w:p>
            <w:pPr>
              <w:spacing w:after="0"/>
            </w:pPr>
            <w:r/>
            <w:r>
              <w:rPr>
                <w:rFonts w:ascii="Aptos" w:hAnsi="Aptos"/>
                <w:b w:val="0"/>
                <w:color w:val="1F2937"/>
                <w:sz w:val="16"/>
              </w:rPr>
              <w:t>Avoid “active” if the backend really means stored contacts; use the actual metric.</w:t>
            </w:r>
          </w:p>
        </w:tc>
      </w:tr>
      <w:tr>
        <w:tc>
          <w:tcPr>
            <w:tcW w:type="dxa" w:w="2556"/>
            <w:shd w:fill="F5F8F6"/>
            <w:vAlign w:val="center"/>
          </w:tcPr>
          <w:p>
            <w:pPr>
              <w:spacing w:after="0"/>
            </w:pPr>
            <w:r/>
            <w:r>
              <w:rPr>
                <w:rFonts w:ascii="Aptos" w:hAnsi="Aptos"/>
                <w:b w:val="0"/>
                <w:color w:val="1F2937"/>
                <w:sz w:val="16"/>
              </w:rPr>
              <w:t>WhatsApp messages</w:t>
            </w:r>
          </w:p>
        </w:tc>
        <w:tc>
          <w:tcPr>
            <w:tcW w:type="dxa" w:w="2556"/>
            <w:shd w:fill="F5F8F6"/>
            <w:vAlign w:val="center"/>
          </w:tcPr>
          <w:p>
            <w:pPr>
              <w:spacing w:after="0"/>
            </w:pPr>
            <w:r/>
            <w:r>
              <w:rPr>
                <w:rFonts w:ascii="Aptos" w:hAnsi="Aptos"/>
                <w:b w:val="0"/>
                <w:color w:val="1F2937"/>
                <w:sz w:val="16"/>
              </w:rPr>
              <w:t>Messages you send</w:t>
            </w:r>
          </w:p>
        </w:tc>
        <w:tc>
          <w:tcPr>
            <w:tcW w:type="dxa" w:w="2556"/>
            <w:shd w:fill="F5F8F6"/>
            <w:vAlign w:val="center"/>
          </w:tcPr>
          <w:p>
            <w:pPr>
              <w:spacing w:after="0"/>
            </w:pPr>
            <w:r/>
            <w:r>
              <w:rPr>
                <w:rFonts w:ascii="Aptos" w:hAnsi="Aptos"/>
                <w:b w:val="0"/>
                <w:color w:val="1F2937"/>
                <w:sz w:val="16"/>
              </w:rPr>
              <w:t>5,000</w:t>
            </w:r>
          </w:p>
        </w:tc>
        <w:tc>
          <w:tcPr>
            <w:tcW w:type="dxa" w:w="2556"/>
            <w:shd w:fill="F5F8F6"/>
            <w:vAlign w:val="center"/>
          </w:tcPr>
          <w:p>
            <w:pPr>
              <w:spacing w:after="0"/>
            </w:pPr>
            <w:r/>
            <w:r>
              <w:rPr>
                <w:rFonts w:ascii="Aptos" w:hAnsi="Aptos"/>
                <w:b w:val="0"/>
                <w:color w:val="1F2937"/>
                <w:sz w:val="16"/>
              </w:rPr>
              <w:t>Clarify that this is an estimate, not included platform allowance.</w:t>
            </w:r>
          </w:p>
        </w:tc>
      </w:tr>
      <w:tr>
        <w:tc>
          <w:tcPr>
            <w:tcW w:type="dxa" w:w="2556"/>
            <w:shd w:fill="FFFFFF"/>
            <w:vAlign w:val="center"/>
          </w:tcPr>
          <w:p>
            <w:pPr>
              <w:spacing w:after="0"/>
            </w:pPr>
            <w:r/>
            <w:r>
              <w:rPr>
                <w:rFonts w:ascii="Aptos" w:hAnsi="Aptos"/>
                <w:b w:val="0"/>
                <w:color w:val="1F2937"/>
                <w:sz w:val="16"/>
              </w:rPr>
              <w:t>Team members</w:t>
            </w:r>
          </w:p>
        </w:tc>
        <w:tc>
          <w:tcPr>
            <w:tcW w:type="dxa" w:w="2556"/>
            <w:shd w:fill="FFFFFF"/>
            <w:vAlign w:val="center"/>
          </w:tcPr>
          <w:p>
            <w:pPr>
              <w:spacing w:after="0"/>
            </w:pPr>
            <w:r/>
            <w:r>
              <w:rPr>
                <w:rFonts w:ascii="Aptos" w:hAnsi="Aptos"/>
                <w:b w:val="0"/>
                <w:color w:val="1F2937"/>
                <w:sz w:val="16"/>
              </w:rPr>
              <w:t>Team members</w:t>
            </w:r>
          </w:p>
        </w:tc>
        <w:tc>
          <w:tcPr>
            <w:tcW w:type="dxa" w:w="2556"/>
            <w:shd w:fill="FFFFFF"/>
            <w:vAlign w:val="center"/>
          </w:tcPr>
          <w:p>
            <w:pPr>
              <w:spacing w:after="0"/>
            </w:pPr>
            <w:r/>
            <w:r>
              <w:rPr>
                <w:rFonts w:ascii="Aptos" w:hAnsi="Aptos"/>
                <w:b w:val="0"/>
                <w:color w:val="1F2937"/>
                <w:sz w:val="16"/>
              </w:rPr>
              <w:t>5</w:t>
            </w:r>
          </w:p>
        </w:tc>
        <w:tc>
          <w:tcPr>
            <w:tcW w:type="dxa" w:w="2556"/>
            <w:shd w:fill="FFFFFF"/>
            <w:vAlign w:val="center"/>
          </w:tcPr>
          <w:p>
            <w:pPr>
              <w:spacing w:after="0"/>
            </w:pPr>
            <w:r/>
            <w:r>
              <w:rPr>
                <w:rFonts w:ascii="Aptos" w:hAnsi="Aptos"/>
                <w:b w:val="0"/>
                <w:color w:val="1F2937"/>
                <w:sz w:val="16"/>
              </w:rPr>
              <w:t>Only show if it changes plan recommendation.</w:t>
            </w:r>
          </w:p>
        </w:tc>
      </w:tr>
      <w:tr>
        <w:tc>
          <w:tcPr>
            <w:tcW w:type="dxa" w:w="2556"/>
            <w:shd w:fill="F5F8F6"/>
            <w:vAlign w:val="center"/>
          </w:tcPr>
          <w:p>
            <w:pPr>
              <w:spacing w:after="0"/>
            </w:pPr>
            <w:r/>
            <w:r>
              <w:rPr>
                <w:rFonts w:ascii="Aptos" w:hAnsi="Aptos"/>
                <w:b w:val="0"/>
                <w:color w:val="1F2937"/>
                <w:sz w:val="16"/>
              </w:rPr>
              <w:t>AI usage</w:t>
            </w:r>
          </w:p>
        </w:tc>
        <w:tc>
          <w:tcPr>
            <w:tcW w:type="dxa" w:w="2556"/>
            <w:shd w:fill="F5F8F6"/>
            <w:vAlign w:val="center"/>
          </w:tcPr>
          <w:p>
            <w:pPr>
              <w:spacing w:after="0"/>
            </w:pPr>
            <w:r/>
            <w:r>
              <w:rPr>
                <w:rFonts w:ascii="Aptos" w:hAnsi="Aptos"/>
                <w:b w:val="0"/>
                <w:color w:val="1F2937"/>
                <w:sz w:val="16"/>
              </w:rPr>
              <w:t>AI-assisted conversations</w:t>
            </w:r>
          </w:p>
        </w:tc>
        <w:tc>
          <w:tcPr>
            <w:tcW w:type="dxa" w:w="2556"/>
            <w:shd w:fill="F5F8F6"/>
            <w:vAlign w:val="center"/>
          </w:tcPr>
          <w:p>
            <w:pPr>
              <w:spacing w:after="0"/>
            </w:pPr>
            <w:r/>
            <w:r>
              <w:rPr>
                <w:rFonts w:ascii="Aptos" w:hAnsi="Aptos"/>
                <w:b w:val="0"/>
                <w:color w:val="1F2937"/>
                <w:sz w:val="16"/>
              </w:rPr>
              <w:t>500</w:t>
            </w:r>
          </w:p>
        </w:tc>
        <w:tc>
          <w:tcPr>
            <w:tcW w:type="dxa" w:w="2556"/>
            <w:shd w:fill="F5F8F6"/>
            <w:vAlign w:val="center"/>
          </w:tcPr>
          <w:p>
            <w:pPr>
              <w:spacing w:after="0"/>
            </w:pPr>
            <w:r/>
            <w:r>
              <w:rPr>
                <w:rFonts w:ascii="Aptos" w:hAnsi="Aptos"/>
                <w:b w:val="0"/>
                <w:color w:val="1F2937"/>
                <w:sz w:val="16"/>
              </w:rPr>
              <w:t>Optional advanced input; hide behind “Add AI usage estimate”.</w:t>
            </w:r>
          </w:p>
        </w:tc>
      </w:tr>
    </w:tbl>
    <w:p>
      <w:pPr>
        <w:pStyle w:val="Callout"/>
        <w:spacing w:after="120"/>
      </w:pPr>
      <w:r>
        <w:t>Result panel should show: “Estimated Samyoj plan” + “Estimated WhatsApp usage” + “Estimated AI/voice usage” + “Estimated total”. Never present it as an exact bill.</w:t>
      </w:r>
    </w:p>
    <w:p>
      <w:pPr>
        <w:pStyle w:val="Heading1"/>
        <w:spacing w:after="120"/>
      </w:pPr>
      <w:r>
        <w:t>7. Proof/benefit section</w:t>
      </w:r>
    </w:p>
    <w:p>
      <w:pPr>
        <w:spacing w:after="120"/>
      </w:pPr>
      <w:r>
        <w:t>Use five compact outcome cards, replacing generic feature marketing. Recommended labels: Official WhatsApp API, Shared Team Inbox, CRM &amp; Lead Tracking, Automation &amp; AI, Secure &amp; Supported. Keep each card to 1 title + 1 sentence. This section is not for introducing new price mechanics.</w:t>
      </w:r>
    </w:p>
    <w:p>
      <w:pPr>
        <w:pStyle w:val="Heading1"/>
        <w:spacing w:after="120"/>
      </w:pPr>
      <w:r>
        <w:t>8. FAQ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1F37"/>
            <w:vAlign w:val="center"/>
          </w:tcPr>
          <w:p>
            <w:pPr>
              <w:spacing w:after="0"/>
            </w:pPr>
            <w:r/>
            <w:r>
              <w:rPr>
                <w:rFonts w:ascii="Aptos" w:hAnsi="Aptos"/>
                <w:b/>
                <w:color w:val="FFFFFF"/>
                <w:sz w:val="16"/>
              </w:rPr>
              <w:t>Priority</w:t>
            </w:r>
          </w:p>
        </w:tc>
        <w:tc>
          <w:tcPr>
            <w:tcW w:type="dxa" w:w="3408"/>
            <w:shd w:fill="0F1F37"/>
            <w:vAlign w:val="center"/>
          </w:tcPr>
          <w:p>
            <w:pPr>
              <w:spacing w:after="0"/>
            </w:pPr>
            <w:r/>
            <w:r>
              <w:rPr>
                <w:rFonts w:ascii="Aptos" w:hAnsi="Aptos"/>
                <w:b/>
                <w:color w:val="FFFFFF"/>
                <w:sz w:val="16"/>
              </w:rPr>
              <w:t>Question</w:t>
            </w:r>
          </w:p>
        </w:tc>
        <w:tc>
          <w:tcPr>
            <w:tcW w:type="dxa" w:w="3408"/>
            <w:shd w:fill="0F1F37"/>
            <w:vAlign w:val="center"/>
          </w:tcPr>
          <w:p>
            <w:pPr>
              <w:spacing w:after="0"/>
            </w:pPr>
            <w:r/>
            <w:r>
              <w:rPr>
                <w:rFonts w:ascii="Aptos" w:hAnsi="Aptos"/>
                <w:b/>
                <w:color w:val="FFFFFF"/>
                <w:sz w:val="16"/>
              </w:rPr>
              <w:t>Answer direction</w:t>
            </w:r>
          </w:p>
        </w:tc>
      </w:tr>
      <w:tr>
        <w:tc>
          <w:tcPr>
            <w:tcW w:type="dxa" w:w="3408"/>
            <w:shd w:fill="F5F8F6"/>
            <w:vAlign w:val="center"/>
          </w:tcPr>
          <w:p>
            <w:pPr>
              <w:spacing w:after="0"/>
            </w:pPr>
            <w:r/>
            <w:r>
              <w:rPr>
                <w:rFonts w:ascii="Aptos" w:hAnsi="Aptos"/>
                <w:b w:val="0"/>
                <w:color w:val="1F2937"/>
                <w:sz w:val="16"/>
              </w:rPr>
              <w:t>P0</w:t>
            </w:r>
          </w:p>
        </w:tc>
        <w:tc>
          <w:tcPr>
            <w:tcW w:type="dxa" w:w="3408"/>
            <w:shd w:fill="F5F8F6"/>
            <w:vAlign w:val="center"/>
          </w:tcPr>
          <w:p>
            <w:pPr>
              <w:spacing w:after="0"/>
            </w:pPr>
            <w:r/>
            <w:r>
              <w:rPr>
                <w:rFonts w:ascii="Aptos" w:hAnsi="Aptos"/>
                <w:b w:val="0"/>
                <w:color w:val="1F2937"/>
                <w:sz w:val="16"/>
              </w:rPr>
              <w:t>Is the free plan really free?</w:t>
            </w:r>
          </w:p>
        </w:tc>
        <w:tc>
          <w:tcPr>
            <w:tcW w:type="dxa" w:w="3408"/>
            <w:shd w:fill="F5F8F6"/>
            <w:vAlign w:val="center"/>
          </w:tcPr>
          <w:p>
            <w:pPr>
              <w:spacing w:after="0"/>
            </w:pPr>
            <w:r/>
            <w:r>
              <w:rPr>
                <w:rFonts w:ascii="Aptos" w:hAnsi="Aptos"/>
                <w:b w:val="0"/>
                <w:color w:val="1F2937"/>
                <w:sz w:val="16"/>
              </w:rPr>
              <w:t>No. It is a 14-day free trial; say this everywhere consistently.</w:t>
            </w:r>
          </w:p>
        </w:tc>
      </w:tr>
      <w:tr>
        <w:tc>
          <w:tcPr>
            <w:tcW w:type="dxa" w:w="3408"/>
            <w:shd w:fill="FFFFFF"/>
            <w:vAlign w:val="center"/>
          </w:tcPr>
          <w:p>
            <w:pPr>
              <w:spacing w:after="0"/>
            </w:pPr>
            <w:r/>
            <w:r>
              <w:rPr>
                <w:rFonts w:ascii="Aptos" w:hAnsi="Aptos"/>
                <w:b w:val="0"/>
                <w:color w:val="1F2937"/>
                <w:sz w:val="16"/>
              </w:rPr>
              <w:t>P0</w:t>
            </w:r>
          </w:p>
        </w:tc>
        <w:tc>
          <w:tcPr>
            <w:tcW w:type="dxa" w:w="3408"/>
            <w:shd w:fill="FFFFFF"/>
            <w:vAlign w:val="center"/>
          </w:tcPr>
          <w:p>
            <w:pPr>
              <w:spacing w:after="0"/>
            </w:pPr>
            <w:r/>
            <w:r>
              <w:rPr>
                <w:rFonts w:ascii="Aptos" w:hAnsi="Aptos"/>
                <w:b w:val="0"/>
                <w:color w:val="1F2937"/>
                <w:sz w:val="16"/>
              </w:rPr>
              <w:t>Are WhatsApp charges included?</w:t>
            </w:r>
          </w:p>
        </w:tc>
        <w:tc>
          <w:tcPr>
            <w:tcW w:type="dxa" w:w="3408"/>
            <w:shd w:fill="FFFFFF"/>
            <w:vAlign w:val="center"/>
          </w:tcPr>
          <w:p>
            <w:pPr>
              <w:spacing w:after="0"/>
            </w:pPr>
            <w:r/>
            <w:r>
              <w:rPr>
                <w:rFonts w:ascii="Aptos" w:hAnsi="Aptos"/>
                <w:b w:val="0"/>
                <w:color w:val="1F2937"/>
                <w:sz w:val="16"/>
              </w:rPr>
              <w:t>No. Meta/WhatsApp charges are separate and depend on usage/category/market.</w:t>
            </w:r>
          </w:p>
        </w:tc>
      </w:tr>
      <w:tr>
        <w:tc>
          <w:tcPr>
            <w:tcW w:type="dxa" w:w="3408"/>
            <w:shd w:fill="F5F8F6"/>
            <w:vAlign w:val="center"/>
          </w:tcPr>
          <w:p>
            <w:pPr>
              <w:spacing w:after="0"/>
            </w:pPr>
            <w:r/>
            <w:r>
              <w:rPr>
                <w:rFonts w:ascii="Aptos" w:hAnsi="Aptos"/>
                <w:b w:val="0"/>
                <w:color w:val="1F2937"/>
                <w:sz w:val="16"/>
              </w:rPr>
              <w:t>P0</w:t>
            </w:r>
          </w:p>
        </w:tc>
        <w:tc>
          <w:tcPr>
            <w:tcW w:type="dxa" w:w="3408"/>
            <w:shd w:fill="F5F8F6"/>
            <w:vAlign w:val="center"/>
          </w:tcPr>
          <w:p>
            <w:pPr>
              <w:spacing w:after="0"/>
            </w:pPr>
            <w:r/>
            <w:r>
              <w:rPr>
                <w:rFonts w:ascii="Aptos" w:hAnsi="Aptos"/>
                <w:b w:val="0"/>
                <w:color w:val="1F2937"/>
                <w:sz w:val="16"/>
              </w:rPr>
              <w:t>What happens after my trial ends?</w:t>
            </w:r>
          </w:p>
        </w:tc>
        <w:tc>
          <w:tcPr>
            <w:tcW w:type="dxa" w:w="3408"/>
            <w:shd w:fill="F5F8F6"/>
            <w:vAlign w:val="center"/>
          </w:tcPr>
          <w:p>
            <w:pPr>
              <w:spacing w:after="0"/>
            </w:pPr>
            <w:r/>
            <w:r>
              <w:rPr>
                <w:rFonts w:ascii="Aptos" w:hAnsi="Aptos"/>
                <w:b w:val="0"/>
                <w:color w:val="1F2937"/>
                <w:sz w:val="16"/>
              </w:rPr>
              <w:t>Explain whether workspace is paused, downgraded or requires a paid plan.</w:t>
            </w:r>
          </w:p>
        </w:tc>
      </w:tr>
      <w:tr>
        <w:tc>
          <w:tcPr>
            <w:tcW w:type="dxa" w:w="3408"/>
            <w:shd w:fill="FFFFFF"/>
            <w:vAlign w:val="center"/>
          </w:tcPr>
          <w:p>
            <w:pPr>
              <w:spacing w:after="0"/>
            </w:pPr>
            <w:r/>
            <w:r>
              <w:rPr>
                <w:rFonts w:ascii="Aptos" w:hAnsi="Aptos"/>
                <w:b w:val="0"/>
                <w:color w:val="1F2937"/>
                <w:sz w:val="16"/>
              </w:rPr>
              <w:t>P0</w:t>
            </w:r>
          </w:p>
        </w:tc>
        <w:tc>
          <w:tcPr>
            <w:tcW w:type="dxa" w:w="3408"/>
            <w:shd w:fill="FFFFFF"/>
            <w:vAlign w:val="center"/>
          </w:tcPr>
          <w:p>
            <w:pPr>
              <w:spacing w:after="0"/>
            </w:pPr>
            <w:r/>
            <w:r>
              <w:rPr>
                <w:rFonts w:ascii="Aptos" w:hAnsi="Aptos"/>
                <w:b w:val="0"/>
                <w:color w:val="1F2937"/>
                <w:sz w:val="16"/>
              </w:rPr>
              <w:t>Can I change my plan later?</w:t>
            </w:r>
          </w:p>
        </w:tc>
        <w:tc>
          <w:tcPr>
            <w:tcW w:type="dxa" w:w="3408"/>
            <w:shd w:fill="FFFFFF"/>
            <w:vAlign w:val="center"/>
          </w:tcPr>
          <w:p>
            <w:pPr>
              <w:spacing w:after="0"/>
            </w:pPr>
            <w:r/>
            <w:r>
              <w:rPr>
                <w:rFonts w:ascii="Aptos" w:hAnsi="Aptos"/>
                <w:b w:val="0"/>
                <w:color w:val="1F2937"/>
                <w:sz w:val="16"/>
              </w:rPr>
              <w:t>Yes; explain upgrade/downgrade timing and proration only if implemented.</w:t>
            </w:r>
          </w:p>
        </w:tc>
      </w:tr>
      <w:tr>
        <w:tc>
          <w:tcPr>
            <w:tcW w:type="dxa" w:w="3408"/>
            <w:shd w:fill="F5F8F6"/>
            <w:vAlign w:val="center"/>
          </w:tcPr>
          <w:p>
            <w:pPr>
              <w:spacing w:after="0"/>
            </w:pPr>
            <w:r/>
            <w:r>
              <w:rPr>
                <w:rFonts w:ascii="Aptos" w:hAnsi="Aptos"/>
                <w:b w:val="0"/>
                <w:color w:val="1F2937"/>
                <w:sz w:val="16"/>
              </w:rPr>
              <w:t>P0</w:t>
            </w:r>
          </w:p>
        </w:tc>
        <w:tc>
          <w:tcPr>
            <w:tcW w:type="dxa" w:w="3408"/>
            <w:shd w:fill="F5F8F6"/>
            <w:vAlign w:val="center"/>
          </w:tcPr>
          <w:p>
            <w:pPr>
              <w:spacing w:after="0"/>
            </w:pPr>
            <w:r/>
            <w:r>
              <w:rPr>
                <w:rFonts w:ascii="Aptos" w:hAnsi="Aptos"/>
                <w:b w:val="0"/>
                <w:color w:val="1F2937"/>
                <w:sz w:val="16"/>
              </w:rPr>
              <w:t>What is included in AI?</w:t>
            </w:r>
          </w:p>
        </w:tc>
        <w:tc>
          <w:tcPr>
            <w:tcW w:type="dxa" w:w="3408"/>
            <w:shd w:fill="F5F8F6"/>
            <w:vAlign w:val="center"/>
          </w:tcPr>
          <w:p>
            <w:pPr>
              <w:spacing w:after="0"/>
            </w:pPr>
            <w:r/>
            <w:r>
              <w:rPr>
                <w:rFonts w:ascii="Aptos" w:hAnsi="Aptos"/>
                <w:b w:val="0"/>
                <w:color w:val="1F2937"/>
                <w:sz w:val="16"/>
              </w:rPr>
              <w:t>Explain text AI vs voice and how usage is metered.</w:t>
            </w:r>
          </w:p>
        </w:tc>
      </w:tr>
      <w:tr>
        <w:tc>
          <w:tcPr>
            <w:tcW w:type="dxa" w:w="3408"/>
            <w:shd w:fill="FFFFFF"/>
            <w:vAlign w:val="center"/>
          </w:tcPr>
          <w:p>
            <w:pPr>
              <w:spacing w:after="0"/>
            </w:pPr>
            <w:r/>
            <w:r>
              <w:rPr>
                <w:rFonts w:ascii="Aptos" w:hAnsi="Aptos"/>
                <w:b w:val="0"/>
                <w:color w:val="1F2937"/>
                <w:sz w:val="16"/>
              </w:rPr>
              <w:t>P1</w:t>
            </w:r>
          </w:p>
        </w:tc>
        <w:tc>
          <w:tcPr>
            <w:tcW w:type="dxa" w:w="3408"/>
            <w:shd w:fill="FFFFFF"/>
            <w:vAlign w:val="center"/>
          </w:tcPr>
          <w:p>
            <w:pPr>
              <w:spacing w:after="0"/>
            </w:pPr>
            <w:r/>
            <w:r>
              <w:rPr>
                <w:rFonts w:ascii="Aptos" w:hAnsi="Aptos"/>
                <w:b w:val="0"/>
                <w:color w:val="1F2937"/>
                <w:sz w:val="16"/>
              </w:rPr>
              <w:t>Can I change monthly, quarterly or annual billing?</w:t>
            </w:r>
          </w:p>
        </w:tc>
        <w:tc>
          <w:tcPr>
            <w:tcW w:type="dxa" w:w="3408"/>
            <w:shd w:fill="FFFFFF"/>
            <w:vAlign w:val="center"/>
          </w:tcPr>
          <w:p>
            <w:pPr>
              <w:spacing w:after="0"/>
            </w:pPr>
            <w:r/>
            <w:r>
              <w:rPr>
                <w:rFonts w:ascii="Aptos" w:hAnsi="Aptos"/>
                <w:b w:val="0"/>
                <w:color w:val="1F2937"/>
                <w:sz w:val="16"/>
              </w:rPr>
              <w:t>Yes, if supported; show how savings apply.</w:t>
            </w:r>
          </w:p>
        </w:tc>
      </w:tr>
      <w:tr>
        <w:tc>
          <w:tcPr>
            <w:tcW w:type="dxa" w:w="3408"/>
            <w:shd w:fill="F5F8F6"/>
            <w:vAlign w:val="center"/>
          </w:tcPr>
          <w:p>
            <w:pPr>
              <w:spacing w:after="0"/>
            </w:pPr>
            <w:r/>
            <w:r>
              <w:rPr>
                <w:rFonts w:ascii="Aptos" w:hAnsi="Aptos"/>
                <w:b w:val="0"/>
                <w:color w:val="1F2937"/>
                <w:sz w:val="16"/>
              </w:rPr>
              <w:t>P1</w:t>
            </w:r>
          </w:p>
        </w:tc>
        <w:tc>
          <w:tcPr>
            <w:tcW w:type="dxa" w:w="3408"/>
            <w:shd w:fill="F5F8F6"/>
            <w:vAlign w:val="center"/>
          </w:tcPr>
          <w:p>
            <w:pPr>
              <w:spacing w:after="0"/>
            </w:pPr>
            <w:r/>
            <w:r>
              <w:rPr>
                <w:rFonts w:ascii="Aptos" w:hAnsi="Aptos"/>
                <w:b w:val="0"/>
                <w:color w:val="1F2937"/>
                <w:sz w:val="16"/>
              </w:rPr>
              <w:t>Can I add more team members or WhatsApp numbers?</w:t>
            </w:r>
          </w:p>
        </w:tc>
        <w:tc>
          <w:tcPr>
            <w:tcW w:type="dxa" w:w="3408"/>
            <w:shd w:fill="F5F8F6"/>
            <w:vAlign w:val="center"/>
          </w:tcPr>
          <w:p>
            <w:pPr>
              <w:spacing w:after="0"/>
            </w:pPr>
            <w:r/>
            <w:r>
              <w:rPr>
                <w:rFonts w:ascii="Aptos" w:hAnsi="Aptos"/>
                <w:b w:val="0"/>
                <w:color w:val="1F2937"/>
                <w:sz w:val="16"/>
              </w:rPr>
              <w:t>Explain add-on or upgrade path, not a vague “contact sales”.</w:t>
            </w:r>
          </w:p>
        </w:tc>
      </w:tr>
      <w:tr>
        <w:tc>
          <w:tcPr>
            <w:tcW w:type="dxa" w:w="3408"/>
            <w:shd w:fill="FFFFFF"/>
            <w:vAlign w:val="center"/>
          </w:tcPr>
          <w:p>
            <w:pPr>
              <w:spacing w:after="0"/>
            </w:pPr>
            <w:r/>
            <w:r>
              <w:rPr>
                <w:rFonts w:ascii="Aptos" w:hAnsi="Aptos"/>
                <w:b w:val="0"/>
                <w:color w:val="1F2937"/>
                <w:sz w:val="16"/>
              </w:rPr>
              <w:t>P1</w:t>
            </w:r>
          </w:p>
        </w:tc>
        <w:tc>
          <w:tcPr>
            <w:tcW w:type="dxa" w:w="3408"/>
            <w:shd w:fill="FFFFFF"/>
            <w:vAlign w:val="center"/>
          </w:tcPr>
          <w:p>
            <w:pPr>
              <w:spacing w:after="0"/>
            </w:pPr>
            <w:r/>
            <w:r>
              <w:rPr>
                <w:rFonts w:ascii="Aptos" w:hAnsi="Aptos"/>
                <w:b w:val="0"/>
                <w:color w:val="1F2937"/>
                <w:sz w:val="16"/>
              </w:rPr>
              <w:t>Is onboarding included?</w:t>
            </w:r>
          </w:p>
        </w:tc>
        <w:tc>
          <w:tcPr>
            <w:tcW w:type="dxa" w:w="3408"/>
            <w:shd w:fill="FFFFFF"/>
            <w:vAlign w:val="center"/>
          </w:tcPr>
          <w:p>
            <w:pPr>
              <w:spacing w:after="0"/>
            </w:pPr>
            <w:r/>
            <w:r>
              <w:rPr>
                <w:rFonts w:ascii="Aptos" w:hAnsi="Aptos"/>
                <w:b w:val="0"/>
                <w:color w:val="1F2937"/>
                <w:sz w:val="16"/>
              </w:rPr>
              <w:t>State the exact support level per plan.</w:t>
            </w:r>
          </w:p>
        </w:tc>
      </w:tr>
      <w:tr>
        <w:tc>
          <w:tcPr>
            <w:tcW w:type="dxa" w:w="3408"/>
            <w:shd w:fill="F5F8F6"/>
            <w:vAlign w:val="center"/>
          </w:tcPr>
          <w:p>
            <w:pPr>
              <w:spacing w:after="0"/>
            </w:pPr>
            <w:r/>
            <w:r>
              <w:rPr>
                <w:rFonts w:ascii="Aptos" w:hAnsi="Aptos"/>
                <w:b w:val="0"/>
                <w:color w:val="1F2937"/>
                <w:sz w:val="16"/>
              </w:rPr>
              <w:t>P1</w:t>
            </w:r>
          </w:p>
        </w:tc>
        <w:tc>
          <w:tcPr>
            <w:tcW w:type="dxa" w:w="3408"/>
            <w:shd w:fill="F5F8F6"/>
            <w:vAlign w:val="center"/>
          </w:tcPr>
          <w:p>
            <w:pPr>
              <w:spacing w:after="0"/>
            </w:pPr>
            <w:r/>
            <w:r>
              <w:rPr>
                <w:rFonts w:ascii="Aptos" w:hAnsi="Aptos"/>
                <w:b w:val="0"/>
                <w:color w:val="1F2937"/>
                <w:sz w:val="16"/>
              </w:rPr>
              <w:t>Do I need a WhatsApp Business number?</w:t>
            </w:r>
          </w:p>
        </w:tc>
        <w:tc>
          <w:tcPr>
            <w:tcW w:type="dxa" w:w="3408"/>
            <w:shd w:fill="F5F8F6"/>
            <w:vAlign w:val="center"/>
          </w:tcPr>
          <w:p>
            <w:pPr>
              <w:spacing w:after="0"/>
            </w:pPr>
            <w:r/>
            <w:r>
              <w:rPr>
                <w:rFonts w:ascii="Aptos" w:hAnsi="Aptos"/>
                <w:b w:val="0"/>
                <w:color w:val="1F2937"/>
                <w:sz w:val="16"/>
              </w:rPr>
              <w:t>Explain the actual onboarding requirement clearly.</w:t>
            </w:r>
          </w:p>
        </w:tc>
      </w:tr>
    </w:tbl>
    <w:p>
      <w:pPr>
        <w:pStyle w:val="Heading1"/>
        <w:spacing w:after="120"/>
      </w:pPr>
      <w:r>
        <w:t>9. Responsive / mobile UI rules</w:t>
      </w:r>
    </w:p>
    <w:p>
      <w:pPr>
        <w:pStyle w:val="ListBullet"/>
        <w:spacing w:after="40"/>
      </w:pPr>
      <w:r>
        <w:t>Keep billing selector sticky while the pricing cards are in view.</w:t>
      </w:r>
    </w:p>
    <w:p>
      <w:pPr>
        <w:pStyle w:val="ListBullet"/>
        <w:spacing w:after="40"/>
      </w:pPr>
      <w:r>
        <w:t>Stack plans 1-up or 2-up; Growth must remain visually dominant.</w:t>
      </w:r>
    </w:p>
    <w:p>
      <w:pPr>
        <w:pStyle w:val="ListBullet"/>
        <w:spacing w:after="40"/>
      </w:pPr>
      <w:r>
        <w:t>Never force a wide comparison table into tiny text. Use horizontal scrolling with a sticky first column or an accordion comparison.</w:t>
      </w:r>
    </w:p>
    <w:p>
      <w:pPr>
        <w:pStyle w:val="ListBullet"/>
        <w:spacing w:after="40"/>
      </w:pPr>
      <w:r>
        <w:t>Move the bill explainer directly under the cards on mobile.</w:t>
      </w:r>
    </w:p>
    <w:p>
      <w:pPr>
        <w:pStyle w:val="ListBullet"/>
        <w:spacing w:after="40"/>
      </w:pPr>
      <w:r>
        <w:t>Keep the CTA sticky at the bottom after the first pricing card enters view: “Start 14-day trial”.</w:t>
      </w:r>
    </w:p>
    <w:p>
      <w:pPr>
        <w:pStyle w:val="ListBullet"/>
        <w:spacing w:after="40"/>
      </w:pPr>
      <w:r>
        <w:t>Use the selected billing state in the CTA, e.g. “Start Growth - Annual”.</w:t>
      </w:r>
    </w:p>
    <w:p>
      <w:pPr>
        <w:pStyle w:val="Heading1"/>
        <w:spacing w:after="120"/>
      </w:pPr>
      <w:r>
        <w:t>10. Visual system recommendations</w:t>
      </w:r>
    </w:p>
    <w:tbl>
      <w:tblPr>
        <w:tblStyle w:val="TableGrid"/>
        <w:tblW w:type="auto" w:w="0"/>
        <w:jc w:val="center"/>
        <w:tblLook w:firstColumn="1" w:firstRow="1" w:lastColumn="0" w:lastRow="0" w:noHBand="0" w:noVBand="1" w:val="04A0"/>
      </w:tblPr>
      <w:tblGrid>
        <w:gridCol w:w="5112"/>
        <w:gridCol w:w="5112"/>
      </w:tblGrid>
      <w:tr>
        <w:tc>
          <w:tcPr>
            <w:tcW w:type="dxa" w:w="5112"/>
            <w:shd w:fill="0F1F37"/>
            <w:vAlign w:val="center"/>
          </w:tcPr>
          <w:p>
            <w:pPr>
              <w:spacing w:after="0"/>
            </w:pPr>
            <w:r/>
            <w:r>
              <w:rPr>
                <w:rFonts w:ascii="Aptos" w:hAnsi="Aptos"/>
                <w:b/>
                <w:color w:val="FFFFFF"/>
                <w:sz w:val="16"/>
              </w:rPr>
              <w:t>Element</w:t>
            </w:r>
          </w:p>
        </w:tc>
        <w:tc>
          <w:tcPr>
            <w:tcW w:type="dxa" w:w="5112"/>
            <w:shd w:fill="0F1F37"/>
            <w:vAlign w:val="center"/>
          </w:tcPr>
          <w:p>
            <w:pPr>
              <w:spacing w:after="0"/>
            </w:pPr>
            <w:r/>
            <w:r>
              <w:rPr>
                <w:rFonts w:ascii="Aptos" w:hAnsi="Aptos"/>
                <w:b/>
                <w:color w:val="FFFFFF"/>
                <w:sz w:val="16"/>
              </w:rPr>
              <w:t>Recommendation</w:t>
            </w:r>
          </w:p>
        </w:tc>
      </w:tr>
      <w:tr>
        <w:tc>
          <w:tcPr>
            <w:tcW w:type="dxa" w:w="5112"/>
            <w:shd w:fill="F5F8F6"/>
            <w:vAlign w:val="center"/>
          </w:tcPr>
          <w:p>
            <w:pPr>
              <w:spacing w:after="0"/>
            </w:pPr>
            <w:r/>
            <w:r>
              <w:rPr>
                <w:rFonts w:ascii="Aptos" w:hAnsi="Aptos"/>
                <w:b w:val="0"/>
                <w:color w:val="1F2937"/>
                <w:sz w:val="16"/>
              </w:rPr>
              <w:t>Palette</w:t>
            </w:r>
          </w:p>
        </w:tc>
        <w:tc>
          <w:tcPr>
            <w:tcW w:type="dxa" w:w="5112"/>
            <w:shd w:fill="F5F8F6"/>
            <w:vAlign w:val="center"/>
          </w:tcPr>
          <w:p>
            <w:pPr>
              <w:spacing w:after="0"/>
            </w:pPr>
            <w:r/>
            <w:r>
              <w:rPr>
                <w:rFonts w:ascii="Aptos" w:hAnsi="Aptos"/>
                <w:b w:val="0"/>
                <w:color w:val="1F2937"/>
                <w:sz w:val="16"/>
              </w:rPr>
              <w:t>Preserve current green accent + dark navy + warm grey. Use green only for emphasis, selected states and CTAs.</w:t>
            </w:r>
          </w:p>
        </w:tc>
      </w:tr>
      <w:tr>
        <w:tc>
          <w:tcPr>
            <w:tcW w:type="dxa" w:w="5112"/>
            <w:shd w:fill="FFFFFF"/>
            <w:vAlign w:val="center"/>
          </w:tcPr>
          <w:p>
            <w:pPr>
              <w:spacing w:after="0"/>
            </w:pPr>
            <w:r/>
            <w:r>
              <w:rPr>
                <w:rFonts w:ascii="Aptos" w:hAnsi="Aptos"/>
                <w:b w:val="0"/>
                <w:color w:val="1F2937"/>
                <w:sz w:val="16"/>
              </w:rPr>
              <w:t>Growth card</w:t>
            </w:r>
          </w:p>
        </w:tc>
        <w:tc>
          <w:tcPr>
            <w:tcW w:type="dxa" w:w="5112"/>
            <w:shd w:fill="FFFFFF"/>
            <w:vAlign w:val="center"/>
          </w:tcPr>
          <w:p>
            <w:pPr>
              <w:spacing w:after="0"/>
            </w:pPr>
            <w:r/>
            <w:r>
              <w:rPr>
                <w:rFonts w:ascii="Aptos" w:hAnsi="Aptos"/>
                <w:b w:val="0"/>
                <w:color w:val="1F2937"/>
                <w:sz w:val="16"/>
              </w:rPr>
              <w:t>Use the existing green border/ring treatment. Add a small “Most popular” pill above the card, not inside the price line.</w:t>
            </w:r>
          </w:p>
        </w:tc>
      </w:tr>
      <w:tr>
        <w:tc>
          <w:tcPr>
            <w:tcW w:type="dxa" w:w="5112"/>
            <w:shd w:fill="F5F8F6"/>
            <w:vAlign w:val="center"/>
          </w:tcPr>
          <w:p>
            <w:pPr>
              <w:spacing w:after="0"/>
            </w:pPr>
            <w:r/>
            <w:r>
              <w:rPr>
                <w:rFonts w:ascii="Aptos" w:hAnsi="Aptos"/>
                <w:b w:val="0"/>
                <w:color w:val="1F2937"/>
                <w:sz w:val="16"/>
              </w:rPr>
              <w:t>Card density</w:t>
            </w:r>
          </w:p>
        </w:tc>
        <w:tc>
          <w:tcPr>
            <w:tcW w:type="dxa" w:w="5112"/>
            <w:shd w:fill="F5F8F6"/>
            <w:vAlign w:val="center"/>
          </w:tcPr>
          <w:p>
            <w:pPr>
              <w:spacing w:after="0"/>
            </w:pPr>
            <w:r/>
            <w:r>
              <w:rPr>
                <w:rFonts w:ascii="Aptos" w:hAnsi="Aptos"/>
                <w:b w:val="0"/>
                <w:color w:val="1F2937"/>
                <w:sz w:val="16"/>
              </w:rPr>
              <w:t>Reduce line count. Use 6–8 visible rows; details can expand.</w:t>
            </w:r>
          </w:p>
        </w:tc>
      </w:tr>
      <w:tr>
        <w:tc>
          <w:tcPr>
            <w:tcW w:type="dxa" w:w="5112"/>
            <w:shd w:fill="FFFFFF"/>
            <w:vAlign w:val="center"/>
          </w:tcPr>
          <w:p>
            <w:pPr>
              <w:spacing w:after="0"/>
            </w:pPr>
            <w:r/>
            <w:r>
              <w:rPr>
                <w:rFonts w:ascii="Aptos" w:hAnsi="Aptos"/>
                <w:b w:val="0"/>
                <w:color w:val="1F2937"/>
                <w:sz w:val="16"/>
              </w:rPr>
              <w:t>Icons</w:t>
            </w:r>
          </w:p>
        </w:tc>
        <w:tc>
          <w:tcPr>
            <w:tcW w:type="dxa" w:w="5112"/>
            <w:shd w:fill="FFFFFF"/>
            <w:vAlign w:val="center"/>
          </w:tcPr>
          <w:p>
            <w:pPr>
              <w:spacing w:after="0"/>
            </w:pPr>
            <w:r/>
            <w:r>
              <w:rPr>
                <w:rFonts w:ascii="Aptos" w:hAnsi="Aptos"/>
                <w:b w:val="0"/>
                <w:color w:val="1F2937"/>
                <w:sz w:val="16"/>
              </w:rPr>
              <w:t>Use one consistent icon family. Avoid decorative 3D icons inside every row if they compete with the price.</w:t>
            </w:r>
          </w:p>
        </w:tc>
      </w:tr>
      <w:tr>
        <w:tc>
          <w:tcPr>
            <w:tcW w:type="dxa" w:w="5112"/>
            <w:shd w:fill="F5F8F6"/>
            <w:vAlign w:val="center"/>
          </w:tcPr>
          <w:p>
            <w:pPr>
              <w:spacing w:after="0"/>
            </w:pPr>
            <w:r/>
            <w:r>
              <w:rPr>
                <w:rFonts w:ascii="Aptos" w:hAnsi="Aptos"/>
                <w:b w:val="0"/>
                <w:color w:val="1F2937"/>
                <w:sz w:val="16"/>
              </w:rPr>
              <w:t>Numbers</w:t>
            </w:r>
          </w:p>
        </w:tc>
        <w:tc>
          <w:tcPr>
            <w:tcW w:type="dxa" w:w="5112"/>
            <w:shd w:fill="F5F8F6"/>
            <w:vAlign w:val="center"/>
          </w:tcPr>
          <w:p>
            <w:pPr>
              <w:spacing w:after="0"/>
            </w:pPr>
            <w:r/>
            <w:r>
              <w:rPr>
                <w:rFonts w:ascii="Aptos" w:hAnsi="Aptos"/>
                <w:b w:val="0"/>
                <w:color w:val="1F2937"/>
                <w:sz w:val="16"/>
              </w:rPr>
              <w:t>Make the price the strongest text on each card. Billing suffix should be visually lighter.</w:t>
            </w:r>
          </w:p>
        </w:tc>
      </w:tr>
      <w:tr>
        <w:tc>
          <w:tcPr>
            <w:tcW w:type="dxa" w:w="5112"/>
            <w:shd w:fill="FFFFFF"/>
            <w:vAlign w:val="center"/>
          </w:tcPr>
          <w:p>
            <w:pPr>
              <w:spacing w:after="0"/>
            </w:pPr>
            <w:r/>
            <w:r>
              <w:rPr>
                <w:rFonts w:ascii="Aptos" w:hAnsi="Aptos"/>
                <w:b w:val="0"/>
                <w:color w:val="1F2937"/>
                <w:sz w:val="16"/>
              </w:rPr>
              <w:t>Savings</w:t>
            </w:r>
          </w:p>
        </w:tc>
        <w:tc>
          <w:tcPr>
            <w:tcW w:type="dxa" w:w="5112"/>
            <w:shd w:fill="FFFFFF"/>
            <w:vAlign w:val="center"/>
          </w:tcPr>
          <w:p>
            <w:pPr>
              <w:spacing w:after="0"/>
            </w:pPr>
            <w:r/>
            <w:r>
              <w:rPr>
                <w:rFonts w:ascii="Aptos" w:hAnsi="Aptos"/>
                <w:b w:val="0"/>
                <w:color w:val="1F2937"/>
                <w:sz w:val="16"/>
              </w:rPr>
              <w:t>Use a small green pill: “Save 20%” rather than a large badge.</w:t>
            </w:r>
          </w:p>
        </w:tc>
      </w:tr>
      <w:tr>
        <w:tc>
          <w:tcPr>
            <w:tcW w:type="dxa" w:w="5112"/>
            <w:shd w:fill="F5F8F6"/>
            <w:vAlign w:val="center"/>
          </w:tcPr>
          <w:p>
            <w:pPr>
              <w:spacing w:after="0"/>
            </w:pPr>
            <w:r/>
            <w:r>
              <w:rPr>
                <w:rFonts w:ascii="Aptos" w:hAnsi="Aptos"/>
                <w:b w:val="0"/>
                <w:color w:val="1F2937"/>
                <w:sz w:val="16"/>
              </w:rPr>
              <w:t>Disclosure</w:t>
            </w:r>
          </w:p>
        </w:tc>
        <w:tc>
          <w:tcPr>
            <w:tcW w:type="dxa" w:w="5112"/>
            <w:shd w:fill="F5F8F6"/>
            <w:vAlign w:val="center"/>
          </w:tcPr>
          <w:p>
            <w:pPr>
              <w:spacing w:after="0"/>
            </w:pPr>
            <w:r/>
            <w:r>
              <w:rPr>
                <w:rFonts w:ascii="Aptos" w:hAnsi="Aptos"/>
                <w:b w:val="0"/>
                <w:color w:val="1F2937"/>
                <w:sz w:val="16"/>
              </w:rPr>
              <w:t>Use a soft grey/green info panel, not a warning-looking red banner, for usage charges.</w:t>
            </w:r>
          </w:p>
        </w:tc>
      </w:tr>
      <w:tr>
        <w:tc>
          <w:tcPr>
            <w:tcW w:type="dxa" w:w="5112"/>
            <w:shd w:fill="FFFFFF"/>
            <w:vAlign w:val="center"/>
          </w:tcPr>
          <w:p>
            <w:pPr>
              <w:spacing w:after="0"/>
            </w:pPr>
            <w:r/>
            <w:r>
              <w:rPr>
                <w:rFonts w:ascii="Aptos" w:hAnsi="Aptos"/>
                <w:b w:val="0"/>
                <w:color w:val="1F2937"/>
                <w:sz w:val="16"/>
              </w:rPr>
              <w:t>Whitespace</w:t>
            </w:r>
          </w:p>
        </w:tc>
        <w:tc>
          <w:tcPr>
            <w:tcW w:type="dxa" w:w="5112"/>
            <w:shd w:fill="FFFFFF"/>
            <w:vAlign w:val="center"/>
          </w:tcPr>
          <w:p>
            <w:pPr>
              <w:spacing w:after="0"/>
            </w:pPr>
            <w:r/>
            <w:r>
              <w:rPr>
                <w:rFonts w:ascii="Aptos" w:hAnsi="Aptos"/>
                <w:b w:val="0"/>
                <w:color w:val="1F2937"/>
                <w:sz w:val="16"/>
              </w:rPr>
              <w:t>Increase spacing between price cards, comparison and estimator so each block has one mental job.</w:t>
            </w:r>
          </w:p>
        </w:tc>
      </w:tr>
    </w:tbl>
    <w:p>
      <w:pPr>
        <w:pStyle w:val="Heading1"/>
        <w:spacing w:after="120"/>
      </w:pPr>
      <w:r>
        <w:t>11. What to borrow from competitors, and what not to copy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1F37"/>
            <w:vAlign w:val="center"/>
          </w:tcPr>
          <w:p>
            <w:pPr>
              <w:spacing w:after="0"/>
            </w:pPr>
            <w:r/>
            <w:r>
              <w:rPr>
                <w:rFonts w:ascii="Aptos" w:hAnsi="Aptos"/>
                <w:b/>
                <w:color w:val="FFFFFF"/>
                <w:sz w:val="16"/>
              </w:rPr>
              <w:t>Competitor</w:t>
            </w:r>
          </w:p>
        </w:tc>
        <w:tc>
          <w:tcPr>
            <w:tcW w:type="dxa" w:w="3408"/>
            <w:shd w:fill="0F1F37"/>
            <w:vAlign w:val="center"/>
          </w:tcPr>
          <w:p>
            <w:pPr>
              <w:spacing w:after="0"/>
            </w:pPr>
            <w:r/>
            <w:r>
              <w:rPr>
                <w:rFonts w:ascii="Aptos" w:hAnsi="Aptos"/>
                <w:b/>
                <w:color w:val="FFFFFF"/>
                <w:sz w:val="16"/>
              </w:rPr>
              <w:t>Useful pattern</w:t>
            </w:r>
          </w:p>
        </w:tc>
        <w:tc>
          <w:tcPr>
            <w:tcW w:type="dxa" w:w="3408"/>
            <w:shd w:fill="0F1F37"/>
            <w:vAlign w:val="center"/>
          </w:tcPr>
          <w:p>
            <w:pPr>
              <w:spacing w:after="0"/>
            </w:pPr>
            <w:r/>
            <w:r>
              <w:rPr>
                <w:rFonts w:ascii="Aptos" w:hAnsi="Aptos"/>
                <w:b/>
                <w:color w:val="FFFFFF"/>
                <w:sz w:val="16"/>
              </w:rPr>
              <w:t>Samyoj adaptation</w:t>
            </w:r>
          </w:p>
        </w:tc>
      </w:tr>
      <w:tr>
        <w:tc>
          <w:tcPr>
            <w:tcW w:type="dxa" w:w="3408"/>
            <w:shd w:fill="F5F8F6"/>
            <w:vAlign w:val="center"/>
          </w:tcPr>
          <w:p>
            <w:pPr>
              <w:spacing w:after="0"/>
            </w:pPr>
            <w:r/>
            <w:r>
              <w:rPr>
                <w:rFonts w:ascii="Aptos" w:hAnsi="Aptos"/>
                <w:b w:val="0"/>
                <w:color w:val="1F2937"/>
                <w:sz w:val="16"/>
              </w:rPr>
              <w:t>AiSensy</w:t>
            </w:r>
          </w:p>
        </w:tc>
        <w:tc>
          <w:tcPr>
            <w:tcW w:type="dxa" w:w="3408"/>
            <w:shd w:fill="F5F8F6"/>
            <w:vAlign w:val="center"/>
          </w:tcPr>
          <w:p>
            <w:pPr>
              <w:spacing w:after="0"/>
            </w:pPr>
            <w:r/>
            <w:r>
              <w:rPr>
                <w:rFonts w:ascii="Aptos" w:hAnsi="Aptos"/>
                <w:b w:val="0"/>
                <w:color w:val="1F2937"/>
                <w:sz w:val="16"/>
              </w:rPr>
              <w:t>Clear billing toggle; platform fee separated from WhatsApp credits; add-ons separated from base plans. citeturn430703search0turn430703search3</w:t>
            </w:r>
          </w:p>
        </w:tc>
        <w:tc>
          <w:tcPr>
            <w:tcW w:type="dxa" w:w="3408"/>
            <w:shd w:fill="F5F8F6"/>
            <w:vAlign w:val="center"/>
          </w:tcPr>
          <w:p>
            <w:pPr>
              <w:spacing w:after="0"/>
            </w:pPr>
            <w:r/>
            <w:r>
              <w:rPr>
                <w:rFonts w:ascii="Aptos" w:hAnsi="Aptos"/>
                <w:b w:val="0"/>
                <w:color w:val="1F2937"/>
                <w:sz w:val="16"/>
              </w:rPr>
              <w:t>Adopt the separation, but make it visually simpler.</w:t>
            </w:r>
          </w:p>
        </w:tc>
      </w:tr>
      <w:tr>
        <w:tc>
          <w:tcPr>
            <w:tcW w:type="dxa" w:w="3408"/>
            <w:shd w:fill="FFFFFF"/>
            <w:vAlign w:val="center"/>
          </w:tcPr>
          <w:p>
            <w:pPr>
              <w:spacing w:after="0"/>
            </w:pPr>
            <w:r/>
            <w:r>
              <w:rPr>
                <w:rFonts w:ascii="Aptos" w:hAnsi="Aptos"/>
                <w:b w:val="0"/>
                <w:color w:val="1F2937"/>
                <w:sz w:val="16"/>
              </w:rPr>
              <w:t>WATI</w:t>
            </w:r>
          </w:p>
        </w:tc>
        <w:tc>
          <w:tcPr>
            <w:tcW w:type="dxa" w:w="3408"/>
            <w:shd w:fill="FFFFFF"/>
            <w:vAlign w:val="center"/>
          </w:tcPr>
          <w:p>
            <w:pPr>
              <w:spacing w:after="0"/>
            </w:pPr>
            <w:r/>
            <w:r>
              <w:rPr>
                <w:rFonts w:ascii="Aptos" w:hAnsi="Aptos"/>
                <w:b w:val="0"/>
                <w:color w:val="1F2937"/>
                <w:sz w:val="16"/>
              </w:rPr>
              <w:t>Explicitly treats subscription, messaging charges and add-ons as separate cost components. citeturn430703search1turn430703search6</w:t>
            </w:r>
          </w:p>
        </w:tc>
        <w:tc>
          <w:tcPr>
            <w:tcW w:type="dxa" w:w="3408"/>
            <w:shd w:fill="FFFFFF"/>
            <w:vAlign w:val="center"/>
          </w:tcPr>
          <w:p>
            <w:pPr>
              <w:spacing w:after="0"/>
            </w:pPr>
            <w:r/>
            <w:r>
              <w:rPr>
                <w:rFonts w:ascii="Aptos" w:hAnsi="Aptos"/>
                <w:b w:val="0"/>
                <w:color w:val="1F2937"/>
                <w:sz w:val="16"/>
              </w:rPr>
              <w:t>Use a 3-part bill explainer immediately beneath plans.</w:t>
            </w:r>
          </w:p>
        </w:tc>
      </w:tr>
      <w:tr>
        <w:tc>
          <w:tcPr>
            <w:tcW w:type="dxa" w:w="3408"/>
            <w:shd w:fill="F5F8F6"/>
            <w:vAlign w:val="center"/>
          </w:tcPr>
          <w:p>
            <w:pPr>
              <w:spacing w:after="0"/>
            </w:pPr>
            <w:r/>
            <w:r>
              <w:rPr>
                <w:rFonts w:ascii="Aptos" w:hAnsi="Aptos"/>
                <w:b w:val="0"/>
                <w:color w:val="1F2937"/>
                <w:sz w:val="16"/>
              </w:rPr>
              <w:t>Gallabox</w:t>
            </w:r>
          </w:p>
        </w:tc>
        <w:tc>
          <w:tcPr>
            <w:tcW w:type="dxa" w:w="3408"/>
            <w:shd w:fill="F5F8F6"/>
            <w:vAlign w:val="center"/>
          </w:tcPr>
          <w:p>
            <w:pPr>
              <w:spacing w:after="0"/>
            </w:pPr>
            <w:r/>
            <w:r>
              <w:rPr>
                <w:rFonts w:ascii="Aptos" w:hAnsi="Aptos"/>
                <w:b w:val="0"/>
                <w:color w:val="1F2937"/>
                <w:sz w:val="16"/>
              </w:rPr>
              <w:t>AI credits are shown explicitly by plan; quarterly/yearly switches are prominent. citeturn722908search2</w:t>
            </w:r>
          </w:p>
        </w:tc>
        <w:tc>
          <w:tcPr>
            <w:tcW w:type="dxa" w:w="3408"/>
            <w:shd w:fill="F5F8F6"/>
            <w:vAlign w:val="center"/>
          </w:tcPr>
          <w:p>
            <w:pPr>
              <w:spacing w:after="0"/>
            </w:pPr>
            <w:r/>
            <w:r>
              <w:rPr>
                <w:rFonts w:ascii="Aptos" w:hAnsi="Aptos"/>
                <w:b w:val="0"/>
                <w:color w:val="1F2937"/>
                <w:sz w:val="16"/>
              </w:rPr>
              <w:t>Adopt explicit AI usage only when Samyoj has a real credit model; until then use “AI usage is metered”.</w:t>
            </w:r>
          </w:p>
        </w:tc>
      </w:tr>
      <w:tr>
        <w:tc>
          <w:tcPr>
            <w:tcW w:type="dxa" w:w="3408"/>
            <w:shd w:fill="FFFFFF"/>
            <w:vAlign w:val="center"/>
          </w:tcPr>
          <w:p>
            <w:pPr>
              <w:spacing w:after="0"/>
            </w:pPr>
            <w:r/>
            <w:r>
              <w:rPr>
                <w:rFonts w:ascii="Aptos" w:hAnsi="Aptos"/>
                <w:b w:val="0"/>
                <w:color w:val="1F2937"/>
                <w:sz w:val="16"/>
              </w:rPr>
              <w:t>Respond.io</w:t>
            </w:r>
          </w:p>
        </w:tc>
        <w:tc>
          <w:tcPr>
            <w:tcW w:type="dxa" w:w="3408"/>
            <w:shd w:fill="FFFFFF"/>
            <w:vAlign w:val="center"/>
          </w:tcPr>
          <w:p>
            <w:pPr>
              <w:spacing w:after="0"/>
            </w:pPr>
            <w:r/>
            <w:r>
              <w:rPr>
                <w:rFonts w:ascii="Aptos" w:hAnsi="Aptos"/>
                <w:b w:val="0"/>
                <w:color w:val="1F2937"/>
                <w:sz w:val="16"/>
              </w:rPr>
              <w:t>Explains the unit of usage and clearly states WhatsApp fees are not included; advanced controls are progressively gated. citeturn430703search2</w:t>
            </w:r>
          </w:p>
        </w:tc>
        <w:tc>
          <w:tcPr>
            <w:tcW w:type="dxa" w:w="3408"/>
            <w:shd w:fill="FFFFFF"/>
            <w:vAlign w:val="center"/>
          </w:tcPr>
          <w:p>
            <w:pPr>
              <w:spacing w:after="0"/>
            </w:pPr>
            <w:r/>
            <w:r>
              <w:rPr>
                <w:rFonts w:ascii="Aptos" w:hAnsi="Aptos"/>
                <w:b w:val="0"/>
                <w:color w:val="1F2937"/>
                <w:sz w:val="16"/>
              </w:rPr>
              <w:t>Use plain-language unit explanations and hide technical limits until the user asks.</w:t>
            </w:r>
          </w:p>
        </w:tc>
      </w:tr>
    </w:tbl>
    <w:p>
      <w:pPr>
        <w:pStyle w:val="Callout"/>
        <w:spacing w:after="120"/>
      </w:pPr>
      <w:r>
        <w:t>The goal is not to make Samyoj’s page more detailed than competitors. The goal is to make Samyoj easier to understand than competitors.</w:t>
      </w:r>
    </w:p>
    <w:p>
      <w:r>
        <w:br w:type="page"/>
      </w:r>
    </w:p>
    <w:p>
      <w:pPr>
        <w:pStyle w:val="Heading1"/>
        <w:spacing w:after="120"/>
      </w:pPr>
      <w:r>
        <w:t>12. Exact final page layout to hand to UI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1F37"/>
            <w:vAlign w:val="center"/>
          </w:tcPr>
          <w:p>
            <w:pPr>
              <w:spacing w:after="0"/>
            </w:pPr>
            <w:r/>
            <w:r>
              <w:rPr>
                <w:rFonts w:ascii="Aptos" w:hAnsi="Aptos"/>
                <w:b/>
                <w:color w:val="FFFFFF"/>
                <w:sz w:val="16"/>
              </w:rPr>
              <w:t>#</w:t>
            </w:r>
          </w:p>
        </w:tc>
        <w:tc>
          <w:tcPr>
            <w:tcW w:type="dxa" w:w="3408"/>
            <w:shd w:fill="0F1F37"/>
            <w:vAlign w:val="center"/>
          </w:tcPr>
          <w:p>
            <w:pPr>
              <w:spacing w:after="0"/>
            </w:pPr>
            <w:r/>
            <w:r>
              <w:rPr>
                <w:rFonts w:ascii="Aptos" w:hAnsi="Aptos"/>
                <w:b/>
                <w:color w:val="FFFFFF"/>
                <w:sz w:val="16"/>
              </w:rPr>
              <w:t>Section</w:t>
            </w:r>
          </w:p>
        </w:tc>
        <w:tc>
          <w:tcPr>
            <w:tcW w:type="dxa" w:w="3408"/>
            <w:shd w:fill="0F1F37"/>
            <w:vAlign w:val="center"/>
          </w:tcPr>
          <w:p>
            <w:pPr>
              <w:spacing w:after="0"/>
            </w:pPr>
            <w:r/>
            <w:r>
              <w:rPr>
                <w:rFonts w:ascii="Aptos" w:hAnsi="Aptos"/>
                <w:b/>
                <w:color w:val="FFFFFF"/>
                <w:sz w:val="16"/>
              </w:rPr>
              <w:t>Exact UI composition</w:t>
            </w:r>
          </w:p>
        </w:tc>
      </w:tr>
      <w:tr>
        <w:tc>
          <w:tcPr>
            <w:tcW w:type="dxa" w:w="3408"/>
            <w:shd w:fill="F5F8F6"/>
            <w:vAlign w:val="center"/>
          </w:tcPr>
          <w:p>
            <w:pPr>
              <w:spacing w:after="0"/>
            </w:pPr>
            <w:r/>
            <w:r>
              <w:rPr>
                <w:rFonts w:ascii="Aptos" w:hAnsi="Aptos"/>
                <w:b w:val="0"/>
                <w:color w:val="1F2937"/>
                <w:sz w:val="16"/>
              </w:rPr>
              <w:t>1</w:t>
            </w:r>
          </w:p>
        </w:tc>
        <w:tc>
          <w:tcPr>
            <w:tcW w:type="dxa" w:w="3408"/>
            <w:shd w:fill="F5F8F6"/>
            <w:vAlign w:val="center"/>
          </w:tcPr>
          <w:p>
            <w:pPr>
              <w:spacing w:after="0"/>
            </w:pPr>
            <w:r/>
            <w:r>
              <w:rPr>
                <w:rFonts w:ascii="Aptos" w:hAnsi="Aptos"/>
                <w:b w:val="0"/>
                <w:color w:val="1F2937"/>
                <w:sz w:val="16"/>
              </w:rPr>
              <w:t>Hero</w:t>
            </w:r>
          </w:p>
        </w:tc>
        <w:tc>
          <w:tcPr>
            <w:tcW w:type="dxa" w:w="3408"/>
            <w:shd w:fill="F5F8F6"/>
            <w:vAlign w:val="center"/>
          </w:tcPr>
          <w:p>
            <w:pPr>
              <w:spacing w:after="0"/>
            </w:pPr>
            <w:r/>
            <w:r>
              <w:rPr>
                <w:rFonts w:ascii="Aptos" w:hAnsi="Aptos"/>
                <w:b w:val="0"/>
                <w:color w:val="1F2937"/>
                <w:sz w:val="16"/>
              </w:rPr>
              <w:t>Eyebrow → headline → subheadline → Start free trial CTA → billing selector → one-line billing disclosure.</w:t>
            </w:r>
          </w:p>
        </w:tc>
      </w:tr>
      <w:tr>
        <w:tc>
          <w:tcPr>
            <w:tcW w:type="dxa" w:w="3408"/>
            <w:shd w:fill="FFFFFF"/>
            <w:vAlign w:val="center"/>
          </w:tcPr>
          <w:p>
            <w:pPr>
              <w:spacing w:after="0"/>
            </w:pPr>
            <w:r/>
            <w:r>
              <w:rPr>
                <w:rFonts w:ascii="Aptos" w:hAnsi="Aptos"/>
                <w:b w:val="0"/>
                <w:color w:val="1F2937"/>
                <w:sz w:val="16"/>
              </w:rPr>
              <w:t>2</w:t>
            </w:r>
          </w:p>
        </w:tc>
        <w:tc>
          <w:tcPr>
            <w:tcW w:type="dxa" w:w="3408"/>
            <w:shd w:fill="FFFFFF"/>
            <w:vAlign w:val="center"/>
          </w:tcPr>
          <w:p>
            <w:pPr>
              <w:spacing w:after="0"/>
            </w:pPr>
            <w:r/>
            <w:r>
              <w:rPr>
                <w:rFonts w:ascii="Aptos" w:hAnsi="Aptos"/>
                <w:b w:val="0"/>
                <w:color w:val="1F2937"/>
                <w:sz w:val="16"/>
              </w:rPr>
              <w:t>Pricing cards</w:t>
            </w:r>
          </w:p>
        </w:tc>
        <w:tc>
          <w:tcPr>
            <w:tcW w:type="dxa" w:w="3408"/>
            <w:shd w:fill="FFFFFF"/>
            <w:vAlign w:val="center"/>
          </w:tcPr>
          <w:p>
            <w:pPr>
              <w:spacing w:after="0"/>
            </w:pPr>
            <w:r/>
            <w:r>
              <w:rPr>
                <w:rFonts w:ascii="Aptos" w:hAnsi="Aptos"/>
                <w:b w:val="0"/>
                <w:color w:val="1F2937"/>
                <w:sz w:val="16"/>
              </w:rPr>
              <w:t>Free Trial / Starter / Growth / Pro. One primary CTA per card. Growth highlighted.</w:t>
            </w:r>
          </w:p>
        </w:tc>
      </w:tr>
      <w:tr>
        <w:tc>
          <w:tcPr>
            <w:tcW w:type="dxa" w:w="3408"/>
            <w:shd w:fill="F5F8F6"/>
            <w:vAlign w:val="center"/>
          </w:tcPr>
          <w:p>
            <w:pPr>
              <w:spacing w:after="0"/>
            </w:pPr>
            <w:r/>
            <w:r>
              <w:rPr>
                <w:rFonts w:ascii="Aptos" w:hAnsi="Aptos"/>
                <w:b w:val="0"/>
                <w:color w:val="1F2937"/>
                <w:sz w:val="16"/>
              </w:rPr>
              <w:t>3</w:t>
            </w:r>
          </w:p>
        </w:tc>
        <w:tc>
          <w:tcPr>
            <w:tcW w:type="dxa" w:w="3408"/>
            <w:shd w:fill="F5F8F6"/>
            <w:vAlign w:val="center"/>
          </w:tcPr>
          <w:p>
            <w:pPr>
              <w:spacing w:after="0"/>
            </w:pPr>
            <w:r/>
            <w:r>
              <w:rPr>
                <w:rFonts w:ascii="Aptos" w:hAnsi="Aptos"/>
                <w:b w:val="0"/>
                <w:color w:val="1F2937"/>
                <w:sz w:val="16"/>
              </w:rPr>
              <w:t>Bill explainer</w:t>
            </w:r>
          </w:p>
        </w:tc>
        <w:tc>
          <w:tcPr>
            <w:tcW w:type="dxa" w:w="3408"/>
            <w:shd w:fill="F5F8F6"/>
            <w:vAlign w:val="center"/>
          </w:tcPr>
          <w:p>
            <w:pPr>
              <w:spacing w:after="0"/>
            </w:pPr>
            <w:r/>
            <w:r>
              <w:rPr>
                <w:rFonts w:ascii="Aptos" w:hAnsi="Aptos"/>
                <w:b w:val="0"/>
                <w:color w:val="1F2937"/>
                <w:sz w:val="16"/>
              </w:rPr>
              <w:t>Three cards: Samyoj plan / WhatsApp-⁠Meta usage / AI-⁠Voice usage.</w:t>
            </w:r>
          </w:p>
        </w:tc>
      </w:tr>
      <w:tr>
        <w:tc>
          <w:tcPr>
            <w:tcW w:type="dxa" w:w="3408"/>
            <w:shd w:fill="FFFFFF"/>
            <w:vAlign w:val="center"/>
          </w:tcPr>
          <w:p>
            <w:pPr>
              <w:spacing w:after="0"/>
            </w:pPr>
            <w:r/>
            <w:r>
              <w:rPr>
                <w:rFonts w:ascii="Aptos" w:hAnsi="Aptos"/>
                <w:b w:val="0"/>
                <w:color w:val="1F2937"/>
                <w:sz w:val="16"/>
              </w:rPr>
              <w:t>4</w:t>
            </w:r>
          </w:p>
        </w:tc>
        <w:tc>
          <w:tcPr>
            <w:tcW w:type="dxa" w:w="3408"/>
            <w:shd w:fill="FFFFFF"/>
            <w:vAlign w:val="center"/>
          </w:tcPr>
          <w:p>
            <w:pPr>
              <w:spacing w:after="0"/>
            </w:pPr>
            <w:r/>
            <w:r>
              <w:rPr>
                <w:rFonts w:ascii="Aptos" w:hAnsi="Aptos"/>
                <w:b w:val="0"/>
                <w:color w:val="1F2937"/>
                <w:sz w:val="16"/>
              </w:rPr>
              <w:t>Core comparison</w:t>
            </w:r>
          </w:p>
        </w:tc>
        <w:tc>
          <w:tcPr>
            <w:tcW w:type="dxa" w:w="3408"/>
            <w:shd w:fill="FFFFFF"/>
            <w:vAlign w:val="center"/>
          </w:tcPr>
          <w:p>
            <w:pPr>
              <w:spacing w:after="0"/>
            </w:pPr>
            <w:r/>
            <w:r>
              <w:rPr>
                <w:rFonts w:ascii="Aptos" w:hAnsi="Aptos"/>
                <w:b w:val="0"/>
                <w:color w:val="1F2937"/>
                <w:sz w:val="16"/>
              </w:rPr>
              <w:t>8–10 key rows; “View all features” expands the full table.</w:t>
            </w:r>
          </w:p>
        </w:tc>
      </w:tr>
      <w:tr>
        <w:tc>
          <w:tcPr>
            <w:tcW w:type="dxa" w:w="3408"/>
            <w:shd w:fill="F5F8F6"/>
            <w:vAlign w:val="center"/>
          </w:tcPr>
          <w:p>
            <w:pPr>
              <w:spacing w:after="0"/>
            </w:pPr>
            <w:r/>
            <w:r>
              <w:rPr>
                <w:rFonts w:ascii="Aptos" w:hAnsi="Aptos"/>
                <w:b w:val="0"/>
                <w:color w:val="1F2937"/>
                <w:sz w:val="16"/>
              </w:rPr>
              <w:t>5</w:t>
            </w:r>
          </w:p>
        </w:tc>
        <w:tc>
          <w:tcPr>
            <w:tcW w:type="dxa" w:w="3408"/>
            <w:shd w:fill="F5F8F6"/>
            <w:vAlign w:val="center"/>
          </w:tcPr>
          <w:p>
            <w:pPr>
              <w:spacing w:after="0"/>
            </w:pPr>
            <w:r/>
            <w:r>
              <w:rPr>
                <w:rFonts w:ascii="Aptos" w:hAnsi="Aptos"/>
                <w:b w:val="0"/>
                <w:color w:val="1F2937"/>
                <w:sz w:val="16"/>
              </w:rPr>
              <w:t>AI usage explainer</w:t>
            </w:r>
          </w:p>
        </w:tc>
        <w:tc>
          <w:tcPr>
            <w:tcW w:type="dxa" w:w="3408"/>
            <w:shd w:fill="F5F8F6"/>
            <w:vAlign w:val="center"/>
          </w:tcPr>
          <w:p>
            <w:pPr>
              <w:spacing w:after="0"/>
            </w:pPr>
            <w:r/>
            <w:r>
              <w:rPr>
                <w:rFonts w:ascii="Aptos" w:hAnsi="Aptos"/>
                <w:b w:val="0"/>
                <w:color w:val="1F2937"/>
                <w:sz w:val="16"/>
              </w:rPr>
              <w:t>Short explanation + link to usage details.</w:t>
            </w:r>
          </w:p>
        </w:tc>
      </w:tr>
      <w:tr>
        <w:tc>
          <w:tcPr>
            <w:tcW w:type="dxa" w:w="3408"/>
            <w:shd w:fill="FFFFFF"/>
            <w:vAlign w:val="center"/>
          </w:tcPr>
          <w:p>
            <w:pPr>
              <w:spacing w:after="0"/>
            </w:pPr>
            <w:r/>
            <w:r>
              <w:rPr>
                <w:rFonts w:ascii="Aptos" w:hAnsi="Aptos"/>
                <w:b w:val="0"/>
                <w:color w:val="1F2937"/>
                <w:sz w:val="16"/>
              </w:rPr>
              <w:t>6</w:t>
            </w:r>
          </w:p>
        </w:tc>
        <w:tc>
          <w:tcPr>
            <w:tcW w:type="dxa" w:w="3408"/>
            <w:shd w:fill="FFFFFF"/>
            <w:vAlign w:val="center"/>
          </w:tcPr>
          <w:p>
            <w:pPr>
              <w:spacing w:after="0"/>
            </w:pPr>
            <w:r/>
            <w:r>
              <w:rPr>
                <w:rFonts w:ascii="Aptos" w:hAnsi="Aptos"/>
                <w:b w:val="0"/>
                <w:color w:val="1F2937"/>
                <w:sz w:val="16"/>
              </w:rPr>
              <w:t>Cost estimator</w:t>
            </w:r>
          </w:p>
        </w:tc>
        <w:tc>
          <w:tcPr>
            <w:tcW w:type="dxa" w:w="3408"/>
            <w:shd w:fill="FFFFFF"/>
            <w:vAlign w:val="center"/>
          </w:tcPr>
          <w:p>
            <w:pPr>
              <w:spacing w:after="0"/>
            </w:pPr>
            <w:r/>
            <w:r>
              <w:rPr>
                <w:rFonts w:ascii="Aptos" w:hAnsi="Aptos"/>
                <w:b w:val="0"/>
                <w:color w:val="1F2937"/>
                <w:sz w:val="16"/>
              </w:rPr>
              <w:t>Plan + usage assumptions + estimated total. Clearly marked estimate.</w:t>
            </w:r>
          </w:p>
        </w:tc>
      </w:tr>
      <w:tr>
        <w:tc>
          <w:tcPr>
            <w:tcW w:type="dxa" w:w="3408"/>
            <w:shd w:fill="F5F8F6"/>
            <w:vAlign w:val="center"/>
          </w:tcPr>
          <w:p>
            <w:pPr>
              <w:spacing w:after="0"/>
            </w:pPr>
            <w:r/>
            <w:r>
              <w:rPr>
                <w:rFonts w:ascii="Aptos" w:hAnsi="Aptos"/>
                <w:b w:val="0"/>
                <w:color w:val="1F2937"/>
                <w:sz w:val="16"/>
              </w:rPr>
              <w:t>7</w:t>
            </w:r>
          </w:p>
        </w:tc>
        <w:tc>
          <w:tcPr>
            <w:tcW w:type="dxa" w:w="3408"/>
            <w:shd w:fill="F5F8F6"/>
            <w:vAlign w:val="center"/>
          </w:tcPr>
          <w:p>
            <w:pPr>
              <w:spacing w:after="0"/>
            </w:pPr>
            <w:r/>
            <w:r>
              <w:rPr>
                <w:rFonts w:ascii="Aptos" w:hAnsi="Aptos"/>
                <w:b w:val="0"/>
                <w:color w:val="1F2937"/>
                <w:sz w:val="16"/>
              </w:rPr>
              <w:t>Why Samyoj</w:t>
            </w:r>
          </w:p>
        </w:tc>
        <w:tc>
          <w:tcPr>
            <w:tcW w:type="dxa" w:w="3408"/>
            <w:shd w:fill="F5F8F6"/>
            <w:vAlign w:val="center"/>
          </w:tcPr>
          <w:p>
            <w:pPr>
              <w:spacing w:after="0"/>
            </w:pPr>
            <w:r/>
            <w:r>
              <w:rPr>
                <w:rFonts w:ascii="Aptos" w:hAnsi="Aptos"/>
                <w:b w:val="0"/>
                <w:color w:val="1F2937"/>
                <w:sz w:val="16"/>
              </w:rPr>
              <w:t>5 outcome cards: API, Inbox, CRM, Automation/AI, Support/Security.</w:t>
            </w:r>
          </w:p>
        </w:tc>
      </w:tr>
      <w:tr>
        <w:tc>
          <w:tcPr>
            <w:tcW w:type="dxa" w:w="3408"/>
            <w:shd w:fill="FFFFFF"/>
            <w:vAlign w:val="center"/>
          </w:tcPr>
          <w:p>
            <w:pPr>
              <w:spacing w:after="0"/>
            </w:pPr>
            <w:r/>
            <w:r>
              <w:rPr>
                <w:rFonts w:ascii="Aptos" w:hAnsi="Aptos"/>
                <w:b w:val="0"/>
                <w:color w:val="1F2937"/>
                <w:sz w:val="16"/>
              </w:rPr>
              <w:t>8</w:t>
            </w:r>
          </w:p>
        </w:tc>
        <w:tc>
          <w:tcPr>
            <w:tcW w:type="dxa" w:w="3408"/>
            <w:shd w:fill="FFFFFF"/>
            <w:vAlign w:val="center"/>
          </w:tcPr>
          <w:p>
            <w:pPr>
              <w:spacing w:after="0"/>
            </w:pPr>
            <w:r/>
            <w:r>
              <w:rPr>
                <w:rFonts w:ascii="Aptos" w:hAnsi="Aptos"/>
                <w:b w:val="0"/>
                <w:color w:val="1F2937"/>
                <w:sz w:val="16"/>
              </w:rPr>
              <w:t>Social proof</w:t>
            </w:r>
          </w:p>
        </w:tc>
        <w:tc>
          <w:tcPr>
            <w:tcW w:type="dxa" w:w="3408"/>
            <w:shd w:fill="FFFFFF"/>
            <w:vAlign w:val="center"/>
          </w:tcPr>
          <w:p>
            <w:pPr>
              <w:spacing w:after="0"/>
            </w:pPr>
            <w:r/>
            <w:r>
              <w:rPr>
                <w:rFonts w:ascii="Aptos" w:hAnsi="Aptos"/>
                <w:b w:val="0"/>
                <w:color w:val="1F2937"/>
                <w:sz w:val="16"/>
              </w:rPr>
              <w:t>3–4 testimonials max; compact metrics if verified.</w:t>
            </w:r>
          </w:p>
        </w:tc>
      </w:tr>
      <w:tr>
        <w:tc>
          <w:tcPr>
            <w:tcW w:type="dxa" w:w="3408"/>
            <w:shd w:fill="F5F8F6"/>
            <w:vAlign w:val="center"/>
          </w:tcPr>
          <w:p>
            <w:pPr>
              <w:spacing w:after="0"/>
            </w:pPr>
            <w:r/>
            <w:r>
              <w:rPr>
                <w:rFonts w:ascii="Aptos" w:hAnsi="Aptos"/>
                <w:b w:val="0"/>
                <w:color w:val="1F2937"/>
                <w:sz w:val="16"/>
              </w:rPr>
              <w:t>9</w:t>
            </w:r>
          </w:p>
        </w:tc>
        <w:tc>
          <w:tcPr>
            <w:tcW w:type="dxa" w:w="3408"/>
            <w:shd w:fill="F5F8F6"/>
            <w:vAlign w:val="center"/>
          </w:tcPr>
          <w:p>
            <w:pPr>
              <w:spacing w:after="0"/>
            </w:pPr>
            <w:r/>
            <w:r>
              <w:rPr>
                <w:rFonts w:ascii="Aptos" w:hAnsi="Aptos"/>
                <w:b w:val="0"/>
                <w:color w:val="1F2937"/>
                <w:sz w:val="16"/>
              </w:rPr>
              <w:t>FAQ</w:t>
            </w:r>
          </w:p>
        </w:tc>
        <w:tc>
          <w:tcPr>
            <w:tcW w:type="dxa" w:w="3408"/>
            <w:shd w:fill="F5F8F6"/>
            <w:vAlign w:val="center"/>
          </w:tcPr>
          <w:p>
            <w:pPr>
              <w:spacing w:after="0"/>
            </w:pPr>
            <w:r/>
            <w:r>
              <w:rPr>
                <w:rFonts w:ascii="Aptos" w:hAnsi="Aptos"/>
                <w:b w:val="0"/>
                <w:color w:val="1F2937"/>
                <w:sz w:val="16"/>
              </w:rPr>
              <w:t>8–10 questions, P0 first.</w:t>
            </w:r>
          </w:p>
        </w:tc>
      </w:tr>
      <w:tr>
        <w:tc>
          <w:tcPr>
            <w:tcW w:type="dxa" w:w="3408"/>
            <w:shd w:fill="FFFFFF"/>
            <w:vAlign w:val="center"/>
          </w:tcPr>
          <w:p>
            <w:pPr>
              <w:spacing w:after="0"/>
            </w:pPr>
            <w:r/>
            <w:r>
              <w:rPr>
                <w:rFonts w:ascii="Aptos" w:hAnsi="Aptos"/>
                <w:b w:val="0"/>
                <w:color w:val="1F2937"/>
                <w:sz w:val="16"/>
              </w:rPr>
              <w:t>10</w:t>
            </w:r>
          </w:p>
        </w:tc>
        <w:tc>
          <w:tcPr>
            <w:tcW w:type="dxa" w:w="3408"/>
            <w:shd w:fill="FFFFFF"/>
            <w:vAlign w:val="center"/>
          </w:tcPr>
          <w:p>
            <w:pPr>
              <w:spacing w:after="0"/>
            </w:pPr>
            <w:r/>
            <w:r>
              <w:rPr>
                <w:rFonts w:ascii="Aptos" w:hAnsi="Aptos"/>
                <w:b w:val="0"/>
                <w:color w:val="1F2937"/>
                <w:sz w:val="16"/>
              </w:rPr>
              <w:t>Final CTA</w:t>
            </w:r>
          </w:p>
        </w:tc>
        <w:tc>
          <w:tcPr>
            <w:tcW w:type="dxa" w:w="3408"/>
            <w:shd w:fill="FFFFFF"/>
            <w:vAlign w:val="center"/>
          </w:tcPr>
          <w:p>
            <w:pPr>
              <w:spacing w:after="0"/>
            </w:pPr>
            <w:r/>
            <w:r>
              <w:rPr>
                <w:rFonts w:ascii="Aptos" w:hAnsi="Aptos"/>
                <w:b w:val="0"/>
                <w:color w:val="1F2937"/>
                <w:sz w:val="16"/>
              </w:rPr>
              <w:t>“Start your 14-day trial” + “Talk to sales” only if a real sales path exists.</w:t>
            </w:r>
          </w:p>
        </w:tc>
      </w:tr>
      <w:tr>
        <w:tc>
          <w:tcPr>
            <w:tcW w:type="dxa" w:w="3408"/>
            <w:shd w:fill="F5F8F6"/>
            <w:vAlign w:val="center"/>
          </w:tcPr>
          <w:p>
            <w:pPr>
              <w:spacing w:after="0"/>
            </w:pPr>
            <w:r/>
            <w:r>
              <w:rPr>
                <w:rFonts w:ascii="Aptos" w:hAnsi="Aptos"/>
                <w:b w:val="0"/>
                <w:color w:val="1F2937"/>
                <w:sz w:val="16"/>
              </w:rPr>
              <w:t>11</w:t>
            </w:r>
          </w:p>
        </w:tc>
        <w:tc>
          <w:tcPr>
            <w:tcW w:type="dxa" w:w="3408"/>
            <w:shd w:fill="F5F8F6"/>
            <w:vAlign w:val="center"/>
          </w:tcPr>
          <w:p>
            <w:pPr>
              <w:spacing w:after="0"/>
            </w:pPr>
            <w:r/>
            <w:r>
              <w:rPr>
                <w:rFonts w:ascii="Aptos" w:hAnsi="Aptos"/>
                <w:b w:val="0"/>
                <w:color w:val="1F2937"/>
                <w:sz w:val="16"/>
              </w:rPr>
              <w:t>Footer</w:t>
            </w:r>
          </w:p>
        </w:tc>
        <w:tc>
          <w:tcPr>
            <w:tcW w:type="dxa" w:w="3408"/>
            <w:shd w:fill="F5F8F6"/>
            <w:vAlign w:val="center"/>
          </w:tcPr>
          <w:p>
            <w:pPr>
              <w:spacing w:after="0"/>
            </w:pPr>
            <w:r/>
            <w:r>
              <w:rPr>
                <w:rFonts w:ascii="Aptos" w:hAnsi="Aptos"/>
                <w:b w:val="0"/>
                <w:color w:val="1F2937"/>
                <w:sz w:val="16"/>
              </w:rPr>
              <w:t>Standard site footer + billing/legal links.</w:t>
            </w:r>
          </w:p>
        </w:tc>
      </w:tr>
    </w:tbl>
    <w:p>
      <w:pPr>
        <w:pStyle w:val="Heading2"/>
        <w:spacing w:after="120"/>
      </w:pPr>
      <w:r>
        <w:t>Pricing card copy to implement</w:t>
      </w:r>
    </w:p>
    <w:p>
      <w:pPr>
        <w:pStyle w:val="ListBullet"/>
        <w:spacing w:after="40"/>
      </w:pPr>
      <w:r>
        <w:t>Free Trial — 14 days. 1 WhatsApp number, 1 team member, up to 1,000 contacts. Start free trial.</w:t>
      </w:r>
    </w:p>
    <w:p>
      <w:pPr>
        <w:pStyle w:val="ListBullet"/>
        <w:spacing w:after="40"/>
      </w:pPr>
      <w:r>
        <w:t>Starter — ₹999/month. For small businesses getting started with WhatsApp CRM and automation.</w:t>
      </w:r>
    </w:p>
    <w:p>
      <w:pPr>
        <w:pStyle w:val="ListBullet"/>
        <w:spacing w:after="40"/>
      </w:pPr>
      <w:r>
        <w:t>Growth — ₹2,499/month. For growing teams. 2 numbers, 10 team members, advanced CRM, unlimited automation, AI Assistant.</w:t>
      </w:r>
    </w:p>
    <w:p>
      <w:pPr>
        <w:pStyle w:val="ListBullet"/>
        <w:spacing w:after="40"/>
      </w:pPr>
      <w:r>
        <w:t>Pro — ₹4,999/month. For larger teams. 5 numbers, 25 team members, advanced AI and analytics.</w:t>
      </w:r>
    </w:p>
    <w:p>
      <w:pPr>
        <w:pStyle w:val="Heading1"/>
        <w:spacing w:after="120"/>
      </w:pPr>
      <w:r>
        <w:t>13. Interaction states developers must implement</w:t>
      </w:r>
    </w:p>
    <w:tbl>
      <w:tblPr>
        <w:tblStyle w:val="TableGrid"/>
        <w:tblW w:type="auto" w:w="0"/>
        <w:jc w:val="center"/>
        <w:tblLook w:firstColumn="1" w:firstRow="1" w:lastColumn="0" w:lastRow="0" w:noHBand="0" w:noVBand="1" w:val="04A0"/>
      </w:tblPr>
      <w:tblGrid>
        <w:gridCol w:w="5112"/>
        <w:gridCol w:w="5112"/>
      </w:tblGrid>
      <w:tr>
        <w:tc>
          <w:tcPr>
            <w:tcW w:type="dxa" w:w="5112"/>
            <w:shd w:fill="0F1F37"/>
            <w:vAlign w:val="center"/>
          </w:tcPr>
          <w:p>
            <w:pPr>
              <w:spacing w:after="0"/>
            </w:pPr>
            <w:r/>
            <w:r>
              <w:rPr>
                <w:rFonts w:ascii="Aptos" w:hAnsi="Aptos"/>
                <w:b/>
                <w:color w:val="FFFFFF"/>
                <w:sz w:val="16"/>
              </w:rPr>
              <w:t>Component</w:t>
            </w:r>
          </w:p>
        </w:tc>
        <w:tc>
          <w:tcPr>
            <w:tcW w:type="dxa" w:w="5112"/>
            <w:shd w:fill="0F1F37"/>
            <w:vAlign w:val="center"/>
          </w:tcPr>
          <w:p>
            <w:pPr>
              <w:spacing w:after="0"/>
            </w:pPr>
            <w:r/>
            <w:r>
              <w:rPr>
                <w:rFonts w:ascii="Aptos" w:hAnsi="Aptos"/>
                <w:b/>
                <w:color w:val="FFFFFF"/>
                <w:sz w:val="16"/>
              </w:rPr>
              <w:t>States required</w:t>
            </w:r>
          </w:p>
        </w:tc>
      </w:tr>
      <w:tr>
        <w:tc>
          <w:tcPr>
            <w:tcW w:type="dxa" w:w="5112"/>
            <w:shd w:fill="F5F8F6"/>
            <w:vAlign w:val="center"/>
          </w:tcPr>
          <w:p>
            <w:pPr>
              <w:spacing w:after="0"/>
            </w:pPr>
            <w:r/>
            <w:r>
              <w:rPr>
                <w:rFonts w:ascii="Aptos" w:hAnsi="Aptos"/>
                <w:b w:val="0"/>
                <w:color w:val="1F2937"/>
                <w:sz w:val="16"/>
              </w:rPr>
              <w:t>Billing selector</w:t>
            </w:r>
          </w:p>
        </w:tc>
        <w:tc>
          <w:tcPr>
            <w:tcW w:type="dxa" w:w="5112"/>
            <w:shd w:fill="F5F8F6"/>
            <w:vAlign w:val="center"/>
          </w:tcPr>
          <w:p>
            <w:pPr>
              <w:spacing w:after="0"/>
            </w:pPr>
            <w:r/>
            <w:r>
              <w:rPr>
                <w:rFonts w:ascii="Aptos" w:hAnsi="Aptos"/>
                <w:b w:val="0"/>
                <w:color w:val="1F2937"/>
                <w:sz w:val="16"/>
              </w:rPr>
              <w:t>Monthly selected; Quarterly selected; Annual selected; keyboard focus; mobile wrap.</w:t>
            </w:r>
          </w:p>
        </w:tc>
      </w:tr>
      <w:tr>
        <w:tc>
          <w:tcPr>
            <w:tcW w:type="dxa" w:w="5112"/>
            <w:shd w:fill="FFFFFF"/>
            <w:vAlign w:val="center"/>
          </w:tcPr>
          <w:p>
            <w:pPr>
              <w:spacing w:after="0"/>
            </w:pPr>
            <w:r/>
            <w:r>
              <w:rPr>
                <w:rFonts w:ascii="Aptos" w:hAnsi="Aptos"/>
                <w:b w:val="0"/>
                <w:color w:val="1F2937"/>
                <w:sz w:val="16"/>
              </w:rPr>
              <w:t>Pricing card</w:t>
            </w:r>
          </w:p>
        </w:tc>
        <w:tc>
          <w:tcPr>
            <w:tcW w:type="dxa" w:w="5112"/>
            <w:shd w:fill="FFFFFF"/>
            <w:vAlign w:val="center"/>
          </w:tcPr>
          <w:p>
            <w:pPr>
              <w:spacing w:after="0"/>
            </w:pPr>
            <w:r/>
            <w:r>
              <w:rPr>
                <w:rFonts w:ascii="Aptos" w:hAnsi="Aptos"/>
                <w:b w:val="0"/>
                <w:color w:val="1F2937"/>
                <w:sz w:val="16"/>
              </w:rPr>
              <w:t>Default; hover; selected; Growth recommended; disabled CTA only if backend condition occurs.</w:t>
            </w:r>
          </w:p>
        </w:tc>
      </w:tr>
      <w:tr>
        <w:tc>
          <w:tcPr>
            <w:tcW w:type="dxa" w:w="5112"/>
            <w:shd w:fill="F5F8F6"/>
            <w:vAlign w:val="center"/>
          </w:tcPr>
          <w:p>
            <w:pPr>
              <w:spacing w:after="0"/>
            </w:pPr>
            <w:r/>
            <w:r>
              <w:rPr>
                <w:rFonts w:ascii="Aptos" w:hAnsi="Aptos"/>
                <w:b w:val="0"/>
                <w:color w:val="1F2937"/>
                <w:sz w:val="16"/>
              </w:rPr>
              <w:t>Comparison table</w:t>
            </w:r>
          </w:p>
        </w:tc>
        <w:tc>
          <w:tcPr>
            <w:tcW w:type="dxa" w:w="5112"/>
            <w:shd w:fill="F5F8F6"/>
            <w:vAlign w:val="center"/>
          </w:tcPr>
          <w:p>
            <w:pPr>
              <w:spacing w:after="0"/>
            </w:pPr>
            <w:r/>
            <w:r>
              <w:rPr>
                <w:rFonts w:ascii="Aptos" w:hAnsi="Aptos"/>
                <w:b w:val="0"/>
                <w:color w:val="1F2937"/>
                <w:sz w:val="16"/>
              </w:rPr>
              <w:t>Collapsed; expanded; mobile horizontal scroll/accordion; sticky header.</w:t>
            </w:r>
          </w:p>
        </w:tc>
      </w:tr>
      <w:tr>
        <w:tc>
          <w:tcPr>
            <w:tcW w:type="dxa" w:w="5112"/>
            <w:shd w:fill="FFFFFF"/>
            <w:vAlign w:val="center"/>
          </w:tcPr>
          <w:p>
            <w:pPr>
              <w:spacing w:after="0"/>
            </w:pPr>
            <w:r/>
            <w:r>
              <w:rPr>
                <w:rFonts w:ascii="Aptos" w:hAnsi="Aptos"/>
                <w:b w:val="0"/>
                <w:color w:val="1F2937"/>
                <w:sz w:val="16"/>
              </w:rPr>
              <w:t>Cost estimator</w:t>
            </w:r>
          </w:p>
        </w:tc>
        <w:tc>
          <w:tcPr>
            <w:tcW w:type="dxa" w:w="5112"/>
            <w:shd w:fill="FFFFFF"/>
            <w:vAlign w:val="center"/>
          </w:tcPr>
          <w:p>
            <w:pPr>
              <w:spacing w:after="0"/>
            </w:pPr>
            <w:r/>
            <w:r>
              <w:rPr>
                <w:rFonts w:ascii="Aptos" w:hAnsi="Aptos"/>
                <w:b w:val="0"/>
                <w:color w:val="1F2937"/>
                <w:sz w:val="16"/>
              </w:rPr>
              <w:t>Default; changed input; loading; recalculated; invalid input; disclaimer.</w:t>
            </w:r>
          </w:p>
        </w:tc>
      </w:tr>
      <w:tr>
        <w:tc>
          <w:tcPr>
            <w:tcW w:type="dxa" w:w="5112"/>
            <w:shd w:fill="F5F8F6"/>
            <w:vAlign w:val="center"/>
          </w:tcPr>
          <w:p>
            <w:pPr>
              <w:spacing w:after="0"/>
            </w:pPr>
            <w:r/>
            <w:r>
              <w:rPr>
                <w:rFonts w:ascii="Aptos" w:hAnsi="Aptos"/>
                <w:b w:val="0"/>
                <w:color w:val="1F2937"/>
                <w:sz w:val="16"/>
              </w:rPr>
              <w:t>FAQ</w:t>
            </w:r>
          </w:p>
        </w:tc>
        <w:tc>
          <w:tcPr>
            <w:tcW w:type="dxa" w:w="5112"/>
            <w:shd w:fill="F5F8F6"/>
            <w:vAlign w:val="center"/>
          </w:tcPr>
          <w:p>
            <w:pPr>
              <w:spacing w:after="0"/>
            </w:pPr>
            <w:r/>
            <w:r>
              <w:rPr>
                <w:rFonts w:ascii="Aptos" w:hAnsi="Aptos"/>
                <w:b w:val="0"/>
                <w:color w:val="1F2937"/>
                <w:sz w:val="16"/>
              </w:rPr>
              <w:t>Closed; open; keyboard focus; deep-link anchor state.</w:t>
            </w:r>
          </w:p>
        </w:tc>
      </w:tr>
      <w:tr>
        <w:tc>
          <w:tcPr>
            <w:tcW w:type="dxa" w:w="5112"/>
            <w:shd w:fill="FFFFFF"/>
            <w:vAlign w:val="center"/>
          </w:tcPr>
          <w:p>
            <w:pPr>
              <w:spacing w:after="0"/>
            </w:pPr>
            <w:r/>
            <w:r>
              <w:rPr>
                <w:rFonts w:ascii="Aptos" w:hAnsi="Aptos"/>
                <w:b w:val="0"/>
                <w:color w:val="1F2937"/>
                <w:sz w:val="16"/>
              </w:rPr>
              <w:t>CTA</w:t>
            </w:r>
          </w:p>
        </w:tc>
        <w:tc>
          <w:tcPr>
            <w:tcW w:type="dxa" w:w="5112"/>
            <w:shd w:fill="FFFFFF"/>
            <w:vAlign w:val="center"/>
          </w:tcPr>
          <w:p>
            <w:pPr>
              <w:spacing w:after="0"/>
            </w:pPr>
            <w:r/>
            <w:r>
              <w:rPr>
                <w:rFonts w:ascii="Aptos" w:hAnsi="Aptos"/>
                <w:b w:val="0"/>
                <w:color w:val="1F2937"/>
                <w:sz w:val="16"/>
              </w:rPr>
              <w:t>Desktop; mobile sticky; plan-specific CTA text when user has selected a card.</w:t>
            </w:r>
          </w:p>
        </w:tc>
      </w:tr>
    </w:tbl>
    <w:p>
      <w:pPr>
        <w:pStyle w:val="Heading1"/>
        <w:spacing w:after="120"/>
      </w:pPr>
      <w:r>
        <w:t>14. QA / acceptance checklist</w:t>
      </w:r>
    </w:p>
    <w:p>
      <w:pPr>
        <w:pStyle w:val="ListBullet"/>
        <w:spacing w:after="40"/>
      </w:pPr>
      <w:r>
        <w:t>Free is consistently called a 14-day trial everywhere on the page.</w:t>
      </w:r>
    </w:p>
    <w:p>
      <w:pPr>
        <w:pStyle w:val="ListBullet"/>
        <w:spacing w:after="40"/>
      </w:pPr>
      <w:r>
        <w:t>No legacy Launch/Growth/Scale/Enterprise pricing remains.</w:t>
      </w:r>
    </w:p>
    <w:p>
      <w:pPr>
        <w:pStyle w:val="ListBullet"/>
        <w:spacing w:after="40"/>
      </w:pPr>
      <w:r>
        <w:t>Monthly, Quarterly and Annual calculations are mathematically correct.</w:t>
      </w:r>
    </w:p>
    <w:p>
      <w:pPr>
        <w:pStyle w:val="ListBullet"/>
        <w:spacing w:after="40"/>
      </w:pPr>
      <w:r>
        <w:t>Annual shows 20% savings and quarterly shows 5% savings.</w:t>
      </w:r>
    </w:p>
    <w:p>
      <w:pPr>
        <w:pStyle w:val="ListBullet"/>
        <w:spacing w:after="40"/>
      </w:pPr>
      <w:r>
        <w:t>WhatsApp/Meta charges are disclosed before the user reaches deep details.</w:t>
      </w:r>
    </w:p>
    <w:p>
      <w:pPr>
        <w:pStyle w:val="ListBullet"/>
        <w:spacing w:after="40"/>
      </w:pPr>
      <w:r>
        <w:t>AI/voice is not labelled unlimited unless a real fair-use/credit mechanism exists.</w:t>
      </w:r>
    </w:p>
    <w:p>
      <w:pPr>
        <w:pStyle w:val="ListBullet"/>
        <w:spacing w:after="40"/>
      </w:pPr>
      <w:r>
        <w:t>Growth is the obvious recommended plan without becoming visually overwhelming.</w:t>
      </w:r>
    </w:p>
    <w:p>
      <w:pPr>
        <w:pStyle w:val="ListBullet"/>
        <w:spacing w:after="40"/>
      </w:pPr>
      <w:r>
        <w:t>Every “✓” maps to a real, currently shipped product capability.</w:t>
      </w:r>
    </w:p>
    <w:p>
      <w:pPr>
        <w:pStyle w:val="ListBullet"/>
        <w:spacing w:after="40"/>
      </w:pPr>
      <w:r>
        <w:t>Every limit displayed in UI is enforced by backend or contractually documented.</w:t>
      </w:r>
    </w:p>
    <w:p>
      <w:pPr>
        <w:pStyle w:val="ListBullet"/>
        <w:spacing w:after="40"/>
      </w:pPr>
      <w:r>
        <w:t>Cost estimator labels all outputs as estimates.</w:t>
      </w:r>
    </w:p>
    <w:p>
      <w:pPr>
        <w:pStyle w:val="ListBullet"/>
        <w:spacing w:after="40"/>
      </w:pPr>
      <w:r>
        <w:t>Mobile pricing remains readable without tiny text.</w:t>
      </w:r>
    </w:p>
    <w:p>
      <w:pPr>
        <w:pStyle w:val="ListBullet"/>
        <w:spacing w:after="40"/>
      </w:pPr>
      <w:r>
        <w:t>CTA behaviour matches the actual trial/signup flow.</w:t>
      </w:r>
    </w:p>
    <w:p>
      <w:pPr>
        <w:pStyle w:val="ListBullet"/>
        <w:spacing w:after="40"/>
      </w:pPr>
      <w:r>
        <w:t>Legal/refund/cancellation language matches the actual billing implementation.</w:t>
      </w:r>
    </w:p>
    <w:p>
      <w:pPr>
        <w:pStyle w:val="Heading1"/>
        <w:spacing w:after="120"/>
      </w:pPr>
      <w:r>
        <w:t>15. Research and source registry</w:t>
      </w:r>
    </w:p>
    <w:tbl>
      <w:tblPr>
        <w:tblStyle w:val="TableGrid"/>
        <w:tblW w:type="auto" w:w="0"/>
        <w:jc w:val="center"/>
        <w:tblLook w:firstColumn="1" w:firstRow="1" w:lastColumn="0" w:lastRow="0" w:noHBand="0" w:noVBand="1" w:val="04A0"/>
      </w:tblPr>
      <w:tblGrid>
        <w:gridCol w:w="5112"/>
        <w:gridCol w:w="5112"/>
      </w:tblGrid>
      <w:tr>
        <w:tc>
          <w:tcPr>
            <w:tcW w:type="dxa" w:w="5112"/>
            <w:shd w:fill="0F1F37"/>
            <w:vAlign w:val="center"/>
          </w:tcPr>
          <w:p>
            <w:pPr>
              <w:spacing w:after="0"/>
            </w:pPr>
            <w:r/>
            <w:r>
              <w:rPr>
                <w:rFonts w:ascii="Aptos" w:hAnsi="Aptos"/>
                <w:b/>
                <w:color w:val="FFFFFF"/>
                <w:sz w:val="14"/>
              </w:rPr>
              <w:t>Source</w:t>
            </w:r>
          </w:p>
        </w:tc>
        <w:tc>
          <w:tcPr>
            <w:tcW w:type="dxa" w:w="5112"/>
            <w:shd w:fill="0F1F37"/>
            <w:vAlign w:val="center"/>
          </w:tcPr>
          <w:p>
            <w:pPr>
              <w:spacing w:after="0"/>
            </w:pPr>
            <w:r/>
            <w:r>
              <w:rPr>
                <w:rFonts w:ascii="Aptos" w:hAnsi="Aptos"/>
                <w:b/>
                <w:color w:val="FFFFFF"/>
                <w:sz w:val="14"/>
              </w:rPr>
              <w:t>URL</w:t>
            </w:r>
          </w:p>
        </w:tc>
      </w:tr>
      <w:tr>
        <w:tc>
          <w:tcPr>
            <w:tcW w:type="dxa" w:w="5112"/>
            <w:shd w:fill="F5F8F6"/>
            <w:vAlign w:val="center"/>
          </w:tcPr>
          <w:p>
            <w:pPr>
              <w:spacing w:after="0"/>
            </w:pPr>
            <w:r/>
            <w:r>
              <w:rPr>
                <w:rFonts w:ascii="Aptos" w:hAnsi="Aptos"/>
                <w:b w:val="0"/>
                <w:color w:val="1F2937"/>
                <w:sz w:val="14"/>
              </w:rPr>
              <w:t>Samyoj pricing page</w:t>
            </w:r>
          </w:p>
        </w:tc>
        <w:tc>
          <w:tcPr>
            <w:tcW w:type="dxa" w:w="5112"/>
            <w:shd w:fill="F5F8F6"/>
            <w:vAlign w:val="center"/>
          </w:tcPr>
          <w:p>
            <w:pPr>
              <w:spacing w:after="0"/>
            </w:pPr>
            <w:r/>
            <w:r>
              <w:rPr>
                <w:rFonts w:ascii="Aptos" w:hAnsi="Aptos"/>
                <w:b w:val="0"/>
                <w:color w:val="1F2937"/>
                <w:sz w:val="14"/>
              </w:rPr>
              <w:t>https://samyoj.com/pricing.html</w:t>
            </w:r>
          </w:p>
        </w:tc>
      </w:tr>
      <w:tr>
        <w:tc>
          <w:tcPr>
            <w:tcW w:type="dxa" w:w="5112"/>
            <w:shd w:fill="FFFFFF"/>
            <w:vAlign w:val="center"/>
          </w:tcPr>
          <w:p>
            <w:pPr>
              <w:spacing w:after="0"/>
            </w:pPr>
            <w:r/>
            <w:r>
              <w:rPr>
                <w:rFonts w:ascii="Aptos" w:hAnsi="Aptos"/>
                <w:b w:val="0"/>
                <w:color w:val="1F2937"/>
                <w:sz w:val="14"/>
              </w:rPr>
              <w:t>AiSensy pricing</w:t>
            </w:r>
          </w:p>
        </w:tc>
        <w:tc>
          <w:tcPr>
            <w:tcW w:type="dxa" w:w="5112"/>
            <w:shd w:fill="FFFFFF"/>
            <w:vAlign w:val="center"/>
          </w:tcPr>
          <w:p>
            <w:pPr>
              <w:spacing w:after="0"/>
            </w:pPr>
            <w:r/>
            <w:r>
              <w:rPr>
                <w:rFonts w:ascii="Aptos" w:hAnsi="Aptos"/>
                <w:b w:val="0"/>
                <w:color w:val="1F2937"/>
                <w:sz w:val="14"/>
              </w:rPr>
              <w:t>https://aisensy.com/pricing/</w:t>
            </w:r>
          </w:p>
        </w:tc>
      </w:tr>
      <w:tr>
        <w:tc>
          <w:tcPr>
            <w:tcW w:type="dxa" w:w="5112"/>
            <w:shd w:fill="F5F8F6"/>
            <w:vAlign w:val="center"/>
          </w:tcPr>
          <w:p>
            <w:pPr>
              <w:spacing w:after="0"/>
            </w:pPr>
            <w:r/>
            <w:r>
              <w:rPr>
                <w:rFonts w:ascii="Aptos" w:hAnsi="Aptos"/>
                <w:b w:val="0"/>
                <w:color w:val="1F2937"/>
                <w:sz w:val="14"/>
              </w:rPr>
              <w:t>WATI pricing</w:t>
            </w:r>
          </w:p>
        </w:tc>
        <w:tc>
          <w:tcPr>
            <w:tcW w:type="dxa" w:w="5112"/>
            <w:shd w:fill="F5F8F6"/>
            <w:vAlign w:val="center"/>
          </w:tcPr>
          <w:p>
            <w:pPr>
              <w:spacing w:after="0"/>
            </w:pPr>
            <w:r/>
            <w:r>
              <w:rPr>
                <w:rFonts w:ascii="Aptos" w:hAnsi="Aptos"/>
                <w:b w:val="0"/>
                <w:color w:val="1F2937"/>
                <w:sz w:val="14"/>
              </w:rPr>
              <w:t>https://www.wati.io/en/pricing/</w:t>
            </w:r>
          </w:p>
        </w:tc>
      </w:tr>
      <w:tr>
        <w:tc>
          <w:tcPr>
            <w:tcW w:type="dxa" w:w="5112"/>
            <w:shd w:fill="FFFFFF"/>
            <w:vAlign w:val="center"/>
          </w:tcPr>
          <w:p>
            <w:pPr>
              <w:spacing w:after="0"/>
            </w:pPr>
            <w:r/>
            <w:r>
              <w:rPr>
                <w:rFonts w:ascii="Aptos" w:hAnsi="Aptos"/>
                <w:b w:val="0"/>
                <w:color w:val="1F2937"/>
                <w:sz w:val="14"/>
              </w:rPr>
              <w:t>WATI pricing structure help</w:t>
            </w:r>
          </w:p>
        </w:tc>
        <w:tc>
          <w:tcPr>
            <w:tcW w:type="dxa" w:w="5112"/>
            <w:shd w:fill="FFFFFF"/>
            <w:vAlign w:val="center"/>
          </w:tcPr>
          <w:p>
            <w:pPr>
              <w:spacing w:after="0"/>
            </w:pPr>
            <w:r/>
            <w:r>
              <w:rPr>
                <w:rFonts w:ascii="Aptos" w:hAnsi="Aptos"/>
                <w:b w:val="0"/>
                <w:color w:val="1F2937"/>
                <w:sz w:val="14"/>
              </w:rPr>
              <w:t>https://support.wati.io/en/articles/11462993-understanding-wati-s-pricing-structure</w:t>
            </w:r>
          </w:p>
        </w:tc>
      </w:tr>
      <w:tr>
        <w:tc>
          <w:tcPr>
            <w:tcW w:type="dxa" w:w="5112"/>
            <w:shd w:fill="F5F8F6"/>
            <w:vAlign w:val="center"/>
          </w:tcPr>
          <w:p>
            <w:pPr>
              <w:spacing w:after="0"/>
            </w:pPr>
            <w:r/>
            <w:r>
              <w:rPr>
                <w:rFonts w:ascii="Aptos" w:hAnsi="Aptos"/>
                <w:b w:val="0"/>
                <w:color w:val="1F2937"/>
                <w:sz w:val="14"/>
              </w:rPr>
              <w:t>Interakt pricing</w:t>
            </w:r>
          </w:p>
        </w:tc>
        <w:tc>
          <w:tcPr>
            <w:tcW w:type="dxa" w:w="5112"/>
            <w:shd w:fill="F5F8F6"/>
            <w:vAlign w:val="center"/>
          </w:tcPr>
          <w:p>
            <w:pPr>
              <w:spacing w:after="0"/>
            </w:pPr>
            <w:r/>
            <w:r>
              <w:rPr>
                <w:rFonts w:ascii="Aptos" w:hAnsi="Aptos"/>
                <w:b w:val="0"/>
                <w:color w:val="1F2937"/>
                <w:sz w:val="14"/>
              </w:rPr>
              <w:t>https://www.interakt.ai/pricing/</w:t>
            </w:r>
          </w:p>
        </w:tc>
      </w:tr>
      <w:tr>
        <w:tc>
          <w:tcPr>
            <w:tcW w:type="dxa" w:w="5112"/>
            <w:shd w:fill="FFFFFF"/>
            <w:vAlign w:val="center"/>
          </w:tcPr>
          <w:p>
            <w:pPr>
              <w:spacing w:after="0"/>
            </w:pPr>
            <w:r/>
            <w:r>
              <w:rPr>
                <w:rFonts w:ascii="Aptos" w:hAnsi="Aptos"/>
                <w:b w:val="0"/>
                <w:color w:val="1F2937"/>
                <w:sz w:val="14"/>
              </w:rPr>
              <w:t>Gallabox pricing</w:t>
            </w:r>
          </w:p>
        </w:tc>
        <w:tc>
          <w:tcPr>
            <w:tcW w:type="dxa" w:w="5112"/>
            <w:shd w:fill="FFFFFF"/>
            <w:vAlign w:val="center"/>
          </w:tcPr>
          <w:p>
            <w:pPr>
              <w:spacing w:after="0"/>
            </w:pPr>
            <w:r/>
            <w:r>
              <w:rPr>
                <w:rFonts w:ascii="Aptos" w:hAnsi="Aptos"/>
                <w:b w:val="0"/>
                <w:color w:val="1F2937"/>
                <w:sz w:val="14"/>
              </w:rPr>
              <w:t>https://gallabox.com/pricing</w:t>
            </w:r>
          </w:p>
        </w:tc>
      </w:tr>
      <w:tr>
        <w:tc>
          <w:tcPr>
            <w:tcW w:type="dxa" w:w="5112"/>
            <w:shd w:fill="F5F8F6"/>
            <w:vAlign w:val="center"/>
          </w:tcPr>
          <w:p>
            <w:pPr>
              <w:spacing w:after="0"/>
            </w:pPr>
            <w:r/>
            <w:r>
              <w:rPr>
                <w:rFonts w:ascii="Aptos" w:hAnsi="Aptos"/>
                <w:b w:val="0"/>
                <w:color w:val="1F2937"/>
                <w:sz w:val="14"/>
              </w:rPr>
              <w:t>Respond.io pricing</w:t>
            </w:r>
          </w:p>
        </w:tc>
        <w:tc>
          <w:tcPr>
            <w:tcW w:type="dxa" w:w="5112"/>
            <w:shd w:fill="F5F8F6"/>
            <w:vAlign w:val="center"/>
          </w:tcPr>
          <w:p>
            <w:pPr>
              <w:spacing w:after="0"/>
            </w:pPr>
            <w:r/>
            <w:r>
              <w:rPr>
                <w:rFonts w:ascii="Aptos" w:hAnsi="Aptos"/>
                <w:b w:val="0"/>
                <w:color w:val="1F2937"/>
                <w:sz w:val="14"/>
              </w:rPr>
              <w:t>https://respond.io/pricing</w:t>
            </w:r>
          </w:p>
        </w:tc>
      </w:tr>
      <w:tr>
        <w:tc>
          <w:tcPr>
            <w:tcW w:type="dxa" w:w="5112"/>
            <w:shd w:fill="FFFFFF"/>
            <w:vAlign w:val="center"/>
          </w:tcPr>
          <w:p>
            <w:pPr>
              <w:spacing w:after="0"/>
            </w:pPr>
            <w:r/>
            <w:r>
              <w:rPr>
                <w:rFonts w:ascii="Aptos" w:hAnsi="Aptos"/>
                <w:b w:val="0"/>
                <w:color w:val="1F2937"/>
                <w:sz w:val="14"/>
              </w:rPr>
              <w:t>Sarvam AI pricing</w:t>
            </w:r>
          </w:p>
        </w:tc>
        <w:tc>
          <w:tcPr>
            <w:tcW w:type="dxa" w:w="5112"/>
            <w:shd w:fill="FFFFFF"/>
            <w:vAlign w:val="center"/>
          </w:tcPr>
          <w:p>
            <w:pPr>
              <w:spacing w:after="0"/>
            </w:pPr>
            <w:r/>
            <w:r>
              <w:rPr>
                <w:rFonts w:ascii="Aptos" w:hAnsi="Aptos"/>
                <w:b w:val="0"/>
                <w:color w:val="1F2937"/>
                <w:sz w:val="14"/>
              </w:rPr>
              <w:t>https://www.sarvam.ai/api-pricing</w:t>
            </w:r>
          </w:p>
        </w:tc>
      </w:tr>
      <w:tr>
        <w:tc>
          <w:tcPr>
            <w:tcW w:type="dxa" w:w="5112"/>
            <w:shd w:fill="F5F8F6"/>
            <w:vAlign w:val="center"/>
          </w:tcPr>
          <w:p>
            <w:pPr>
              <w:spacing w:after="0"/>
            </w:pPr>
            <w:r/>
            <w:r>
              <w:rPr>
                <w:rFonts w:ascii="Aptos" w:hAnsi="Aptos"/>
                <w:b w:val="0"/>
                <w:color w:val="1F2937"/>
                <w:sz w:val="14"/>
              </w:rPr>
              <w:t>Sarvam AI API pricing docs</w:t>
            </w:r>
          </w:p>
        </w:tc>
        <w:tc>
          <w:tcPr>
            <w:tcW w:type="dxa" w:w="5112"/>
            <w:shd w:fill="F5F8F6"/>
            <w:vAlign w:val="center"/>
          </w:tcPr>
          <w:p>
            <w:pPr>
              <w:spacing w:after="0"/>
            </w:pPr>
            <w:r/>
            <w:r>
              <w:rPr>
                <w:rFonts w:ascii="Aptos" w:hAnsi="Aptos"/>
                <w:b w:val="0"/>
                <w:color w:val="1F2937"/>
                <w:sz w:val="14"/>
              </w:rPr>
              <w:t>https://docs.sarvam.ai/api/getting-started/pricing</w:t>
            </w:r>
          </w:p>
        </w:tc>
      </w:tr>
    </w:tbl>
    <w:p>
      <w:pPr>
        <w:pStyle w:val="Small"/>
        <w:spacing w:after="120"/>
      </w:pPr>
      <w:r>
        <w:t>Research note: competitor interfaces and prices are dynamic. This document uses current public pages available during the August 2026 review. The final implementation should re-check public pricing and Meta/Sarvam billing terms immediately before launch.</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C96"/>
        <w:sz w:val="14"/>
      </w:rPr>
      <w:t>Samyoj Pricing Page UI / UX Implementation Audit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F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74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1F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F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color w:val="5A646E"/>
      <w:sz w:val="16"/>
    </w:rPr>
  </w:style>
  <w:style w:type="paragraph" w:customStyle="1" w:styleId="Callout">
    <w:name w:val="Callout"/>
    <w:rPr>
      <w:rFonts w:ascii="Aptos" w:hAnsi="Aptos"/>
      <w:b/>
      <w:color w:val="0F1F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Samyoj Pricing Page UI / UX Implementation Audit 2026</dc:title>
  <dc:subject>UI-only pricing page implementation specification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