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Analysis Report</w:t>
      </w:r>
    </w:p>
    <w:p>
      <w:r>
        <w:t>Generated: 2025-10-06T18:47:27</w:t>
      </w:r>
    </w:p>
    <w:p>
      <w:r>
        <w:t>Source document: C:\Users\Owner\Desktop\Agents\HKStatementOfClaim.docx</w:t>
      </w:r>
    </w:p>
    <w:p>
      <w:r>
        <w:t>Bayesian context enabled: No</w:t>
      </w:r>
    </w:p>
    <w:p>
      <w:pPr>
        <w:pStyle w:val="Heading2"/>
      </w:pPr>
      <w:r>
        <w:t>Bottom Line Up Front</w:t>
      </w:r>
    </w:p>
    <w:p>
      <w:r>
        <w:t>Thank you, Planner, for the detailed evaluation plan. I will proceed to summarize the key objectives for examining the provided Statement of Claim, with specific sections to focus on.</w:t>
        <w:br/>
        <w:br/>
        <w:t>### Key Objectives:</w:t>
        <w:br/>
        <w:t>1. **Parties Identification**: Confirm clarity and accuracy in the identification of the parties involved.</w:t>
        <w:br/>
        <w:t xml:space="preserve">   - Focus on **Part A**.</w:t>
        <w:br/>
        <w:t xml:space="preserve">   </w:t>
        <w:br/>
        <w:t>2. **Jurisdictional Foundations**: Ensure legal basis for jurisdiction is well-pleaded and supported.</w:t>
        <w:br/>
        <w:t xml:space="preserve">   - Emphasize **Part B**.</w:t>
        <w:br/>
        <w:br/>
        <w:t>3. **Defamation Claims**: Assess the sufficiency of the claims for defamation, including the elements of defamatory meaning and publication.</w:t>
        <w:br/>
        <w:t xml:space="preserve">   - Concentrate on **Part D** and its supporting schedules (Schedules 1, 2).</w:t>
        <w:br/>
        <w:br/>
        <w:t>4. **Particulars of Malice**: Evaluate the allegations of malice and how they contribute to the claims against the Defendants.</w:t>
        <w:br/>
        <w:t xml:space="preserve">   - Review **Part E** closely.</w:t>
        <w:br/>
        <w:br/>
        <w:t>5. **Relief Requested**: Check that the prayers for relief are appropriate and clearly articulated under legal standards.</w:t>
        <w:br/>
        <w:t xml:space="preserve">   - Investigate **Part F**.</w:t>
        <w:br/>
        <w:br/>
        <w:t>6. **Schedule Reviews**: Assess the strength of the Schedules, particularly regarding the particulars of harm.</w:t>
        <w:br/>
        <w:t xml:space="preserve">   - Analyze **Schedules 3, 4, and 5**.</w:t>
        <w:br/>
        <w:br/>
        <w:t>### Handoff to Grader:</w:t>
        <w:br/>
        <w:t>Grader, based on these objectives, please evaluate the legal quality of the Statement of Claim, scoring it with rationales for each section reviewed. Highlight the strongest and weakest elements of the document and invite the Critic to respond afterwards.</w:t>
      </w:r>
    </w:p>
    <w:p>
      <w:pPr>
        <w:pStyle w:val="Heading2"/>
      </w:pPr>
      <w:r>
        <w:t>Agent Contributions</w:t>
      </w:r>
    </w:p>
    <w:p>
      <w:pPr>
        <w:pStyle w:val="Heading3"/>
      </w:pPr>
      <w:r>
        <w:t>Planner</w:t>
      </w:r>
    </w:p>
    <w:p>
      <w:pPr>
        <w:pStyle w:val="ListBullet"/>
      </w:pPr>
      <w:r>
        <w:t>Collaborative Evaluation Protocol:</w:t>
        <w:br/>
        <w:t>1. Planner acts first: outline a concise evaluation plan referencing document sections, then hand off to the Grader.</w:t>
        <w:br/>
        <w:t>2. Grader responds once: score the document using the Planner's plan, citing evidence, and invite the Critic to refine.</w:t>
        <w:br/>
        <w:t>3. Critic addresses the Grader's findings: propose revisions or risk mitigations, then request the Probabilist's assessment.</w:t>
        <w:br/>
        <w:t>4. Probabilist concludes: integrate earlier feedback, estimate success probabilities, summarize residual risks, and end with 'TERMINATE'.</w:t>
        <w:br/>
        <w:t>Each agent must acknowledge previous contributions, avoid repeating full rubrics, and keep the conversation focused.</w:t>
        <w:br/>
        <w:br/>
        <w:t>[Document]</w:t>
        <w:br/>
        <w:t>Final Draft</w:t>
        <w:br/>
        <w:t>IN THE HIGH COURT OF</w:t>
        <w:br/>
        <w:t>THE HONG KONG SPECIAL ADMINISTRATIVE REGION</w:t>
        <w:br/>
        <w:t>COURT OF FIRST INSTANCE</w:t>
        <w:br/>
        <w:br/>
        <w:t>ACTION NO. 771 OF 2025</w:t>
        <w:br/>
        <w:br/>
        <w:t>BETWEEN</w:t>
        <w:br/>
        <w:br/>
        <w:t>MALCOLM GRAYSON</w:t>
        <w:br/>
        <w:br/>
        <w:t>Plaintiff</w:t>
        <w:br/>
        <w:br/>
        <w:br/>
        <w:t>and</w:t>
        <w:br/>
        <w:br/>
        <w:t>1.  HARVARD CLUB OF HONG KONG LIMITED</w:t>
        <w:br/>
        <w:t>2.  HARVARD CLUB OF BEIJING</w:t>
        <w:br/>
        <w:t>3.  HARVARD CLUB OF SHANGHAI</w:t>
        <w:br/>
        <w:t>4.  WEIQI ZHANG</w:t>
        <w:br/>
        <w:br/>
        <w:t>Defendants</w:t>
        <w:br/>
        <w:br/>
        <w:br/>
        <w:br/>
        <w:br/>
        <w:br/>
        <w:br/>
        <w:br/>
        <w:br/>
        <w:t>STATEMENT OF CLAIM</w:t>
        <w:br/>
        <w:t>PART A —  PARTIES</w:t>
        <w:br/>
        <w:br/>
        <w:t xml:space="preserve">The Plaintiff is a US citizen with a Hong Kong address for service at Flat C, 25/F, Tower 7, Central Park Towers II, Tin Shui Wai, New Territories.  </w:t>
        <w:br/>
        <w:t xml:space="preserve">Defendant 1 – Harvard Club of Hong Kong Limited, an alumni club within the Harvard Alumni Association, with address for service at Block D, 2/F, Hoover Industrial Building, 26–38 Kwai Cheong Road, Kwai Chung, Hong Kong.  </w:t>
        <w:br/>
        <w:t xml:space="preserve">Defendant 2 – Harvard Club of Beijing, an alumni club within the Harvard Alumni Association, with address for service at Future Land Centre, No. 10-B Jiuxianqiao North Road, Beijing, PRC.  </w:t>
        <w:br/>
        <w:t xml:space="preserve">Defendant 3 – Harvard Club of Shanghai, an alumni club within the Harvard Alumni Association, with address for service at Unit 509, 5/F, Shanghai IFC-HSBC Building, 8 Century Avenue, Pudong, Shanghai 200120, PRC.  </w:t>
        <w:br/>
        <w:t xml:space="preserve">Defendant 4 – Weiqi Zhang, former Vice-President of the Harvard Club of Shanghai, with address for service at Unit 509, 5/F, Shanghai IFC-HSBC Building, 8 Century Avenue, Pudong, Shanghai.  </w:t>
        <w:br/>
        <w:t>The Defendants are sued jointly and severally.</w:t>
        <w:br/>
        <w:br/>
        <w:t>PART B — JURISDICTION</w:t>
        <w:br/>
        <w:t>Civil Jurisdiction — Section 12(1) of the High Court Ordinance (Cap 4) gives the Court of First Instance (CFI) unlimited power to hear civil cases, including this defamation claim.</w:t>
        <w:br/>
        <w:t>Personal Jurisdiction Over Defendant 1 — The 1st Defendant has been (or will be) served in Hong Kong, so the CFI has jurisdiction under Order 10 Rule 1 of the Rules of the High Court (Cap 4A).</w:t>
        <w:br/>
        <w:t>Service Out On Defendants 2-4 — Leave will be sought to serve the writ and this pleading outside Hong Kong under Order 11 rule 1(f)(ii) and Order 11 rule 1(1)(h) of the Rules of the High Court (Cap 4A): (a) Gateway (f)(ii) — tort where the damage is sustained within the jurisdiction; and (b) Gateway (h) — the defendant outside the jurisdiction is a necessary and proper party.</w:t>
        <w:br/>
        <w:t xml:space="preserve">Forum — The Plaintiff suffered damages in Hong Kong. </w:t>
        <w:br/>
        <w:t>Limitation — All publications and republications took place within six years before this action began, which falls inside the six-year period set by section 4(1)(a) of the Limitation Ordinance (Cap 347). If any shorter period applies, each republication within six years is pleaded as a separate cause of action.</w:t>
        <w:br/>
        <w:t>PART C — TIMELINE</w:t>
        <w:br/>
        <w:t>19 Apr 2019 — Defendants publish Statement 1.</w:t>
        <w:br/>
        <w:t xml:space="preserve">20 Apr 2019 — Statement 1 is circulated in third-party media. </w:t>
        <w:br/>
        <w:t>29-30 Apr 2019 — Defendants publish Statement 2.</w:t>
        <w:br/>
        <w:t>2020–2025 — Defendants periodically redate Statement 2.</w:t>
        <w:br/>
        <w:t>PART D — DEFAMATION (LIBEL)</w:t>
        <w:br/>
        <w:t>Words Complained Of (see Schedule 1)</w:t>
        <w:br/>
        <w:t xml:space="preserve"> (a) Statement 1 — 19 April 2019 PDF notice naming the Plaintiff.</w:t>
        <w:br/>
        <w:t xml:space="preserve"> (b) Statement 2 — 29 April 2019 web notice (subsequently re-dated) omitting the Plaintiff's name. </w:t>
        <w:br/>
        <w:t xml:space="preserve"> (c) Each later upload, re-date, or e-mail of the same text is pleaded as a fresh publication.</w:t>
        <w:br/>
        <w:t xml:space="preserve">(d) Slander is defamation spoken or otherwise transient and needs proof of special damage, whereas libel is defamation in a permanent medium (print, PDF, website, recording) and is actionable per se. All words appeared in writing or other permanent form and sound only in libel (actionable per se); no separate cause of action in slander is pleaded for any oral repetitions at this time. </w:t>
        <w:br/>
        <w:t>Defamatory Meanings</w:t>
        <w:br/>
        <w:t>(a) Natural meaning — In their ordinary and natural meaning, the Statements were understood by reasonable readers to mean that the Plaintiff:</w:t>
        <w:br/>
        <w:t xml:space="preserve">     (i) falsified his affiliation with Harvard College;</w:t>
        <w:br/>
        <w:t xml:space="preserve">     (ii) is dishonest in the context of his education career; and</w:t>
        <w:br/>
        <w:t xml:space="preserve">     (iii) should be reported for “inappropriate claims or actions.”</w:t>
        <w:br/>
        <w:t xml:space="preserve">  (b) True innuendo — To readers who also knew any of the extrinsic facts pleaded in paragraph 18(a)–(b) below and in Schedules 2 and 4, the Statements further implied that the Plaintiff had engaged in words or actions that are criminal and should be reported.</w:t>
        <w:br/>
        <w:t>Extrinsic Facts Relied On</w:t>
        <w:br/>
        <w:t>(a)  See Schedule 3. These facts were known to readers in Hong Kong at the time of each publication.</w:t>
        <w:br/>
        <w:t>(b) See Schedule 4. These facts were known to attendees of the Plaintiff's speeches across China as well as to the Defendants.</w:t>
        <w:br/>
        <w:t>Republication</w:t>
        <w:br/>
        <w:t>(a) 19–28 Apr 2019 — Blogs and WeChat posts republished Statement 1 and discussed the Plaintiff (see Schedule 2).</w:t>
        <w:br/>
        <w:t xml:space="preserve">(b) 24 Apr 2019 —The Plaintiff alerted the Harvard Center Shanghai and the Harvard Club of Shanghai. </w:t>
        <w:br/>
        <w:t>(c) The Harvard Club of Shanghai told the Plaintiff his materials were forwarded to all relevant organs of Harvard University.</w:t>
        <w:br/>
        <w:t>(d) 29 Apr 2019, and thereafter, the Defendants issued and repeatedly re-dated Statement 2 to the same audiences. All statements carried an email hotline to “report inappropriate claims” (report@harvardsh.org / clubs@harvard.edu).</w:t>
        <w:br/>
        <w:t xml:space="preserve">Liability </w:t>
        <w:br/>
        <w:t>Upon proof of (i) defamatory meaning, (ii) reference to the Plaintiff, and (iii) publication in Hong Kong, the burden is on the Defendants to establish any complete defence.</w:t>
        <w:br/>
        <w:t>Defences Anticipated – (a) Truth/justification — denied. (b) Qualified privilege — denied; defeated by malice (see Part E). (c) Honest opinion — denied; defeated by malice (see Part E). (d) Innocent dissemination — unavailable to original publishers.</w:t>
        <w:br/>
        <w:t>Damage – Libel is actionable per se. The Plaintiff nonetheless relies on serious harm to reputation, business, and safety, and claims general, aggravated, and exemplary damages. Particulars of financial, professional, and psychiatric loss are set out in Schedule 5 and may be updated after discovery.</w:t>
        <w:br/>
        <w:t xml:space="preserve">PART E — PARTICULARS OF MALICE </w:t>
        <w:br/>
        <w:t xml:space="preserve">No Warning or Right of Reply – Despite prior warnings of harm, established communication channels, and a prior history of settling their dispute with communication, the Defendants published Statement 1 without first contacting or warning the Plaintiff. They then declined his requests for a retraction, an apology, or a clarification regarding their changes in Statement 2. </w:t>
        <w:br/>
        <w:t xml:space="preserve">Knowledge / Recklessness – (a) Before publication, the Defendants knew the Plaintiff’s credentials and were in possession of the Interviewer Handbook. (b) The Plaintiff alerted the Defendants to their "office/officer" translation, “work” use, and "Council/Committee" non-use. (c) The Defendants then published Statement 2 but changed the word “work” to “support.” (d) The Harvard Club of Hong Kong republished Statement 2 as recently as April 2025. </w:t>
        <w:br/>
        <w:t>Improper Motive</w:t>
        <w:br/>
        <w:t xml:space="preserve"> (a) The Defendants knew (i) that the Plaintiff has a disability, (ii) that the Plaintiff’s slides contained a photograph about Xi Mingze’s Harvard affiliation, (iii) that posting such information could lead to arrest and criminal prosecution. They called on the public to “report” him in order to divert risk away from themselves and onto the Plaintiff. </w:t>
        <w:br/>
        <w:t xml:space="preserve">(b) Defendant 4 is the direct business competitor of the Plaintiff and stood to gain from the elimination of a rival. His company Blue Oak Education connects over 2 million students and parents in China on the topic of study abroad. </w:t>
        <w:br/>
        <w:t>The Plaintiff relies on paragraphs 23-25 as particulars of malice, reckless disregard, and improper motive to defeat potential defences of truth, privilege or honest opinion. Further particulars will be provided after discovery.</w:t>
        <w:br/>
        <w:br/>
        <w:t>PART F — PRAYER FOR RELIEF</w:t>
        <w:br/>
        <w:t>General damages (to be assessed).</w:t>
        <w:br/>
        <w:t>Special damages (particulars to follow).</w:t>
        <w:br/>
        <w:t>Aggravated damages.</w:t>
        <w:br/>
        <w:t>Exemplary damages.</w:t>
        <w:br/>
        <w:t>Permanent injunction restraining further publication.</w:t>
        <w:br/>
        <w:t>A mandatory retraction and apology in terms approved by the Court.</w:t>
        <w:br/>
        <w:t xml:space="preserve">Further or other relief as this Court deems just and proper. </w:t>
        <w:br/>
        <w:t>PART G — STATEMENT OF TRUTH</w:t>
        <w:br/>
        <w:t>I believe that the facts stated in this Statement of Claim are true.</w:t>
        <w:br/>
        <w:t>_______________________________</w:t>
        <w:br/>
        <w:t>(Signature of Plaintiff)</w:t>
        <w:br/>
        <w:t>Dated: 19 May 2025</w:t>
        <w:br/>
        <w:t>Malcolm Grayson — Plaintiff (Litigant in Person)</w:t>
        <w:br/>
        <w:t>Service Address: Flat C, 25/F, Tower 7, Central Park Towers II, Tin Shui Wai, NT, HK     Email: malcolmgrayson@post.harvard.edu</w:t>
        <w:br/>
        <w:t>Telephone: +1-260-299-2859</w:t>
        <w:br/>
        <w:t>End of Statement of Claim</w:t>
        <w:br/>
        <w:t>Schedules</w:t>
        <w:br/>
        <w:br/>
        <w:t>SCHEDULE 1 – WORDS COMPLAINED OF</w:t>
        <w:br/>
        <w:t xml:space="preserve">SCHEDULE 1 </w:t>
        <w:br/>
        <w:t>WORDS COMPLAINED OF</w:t>
        <w:br/>
        <w:t>STATEMENT 1 — 19 April 2019</w:t>
        <w:br/>
        <w:t xml:space="preserve">  (a) Form &amp; publisher: PDF media release headed “FOR IMMEDIATE RELEASE” on the websites (hcbeijing.clubs.harvard.edu, harvardsh.org, harvardhk.org), e-mail lists and WeChat “official accounts” of the Harvard Clubs of Shanghai, Beijing and Hong Kong, bearing an official Harvard insignia.</w:t>
        <w:br/>
        <w:t xml:space="preserve">  (b) English words complained of (verbatim):</w:t>
        <w:br/>
        <w:t xml:space="preserve">   (i) “We have received inquiries regarding the relationship of Malcolm Grayson ‘15 to the Harvard admissions office. Mr Grayson is not currently an interviewer for Harvard, and he has never been a Harvard admissions officer.”</w:t>
        <w:br/>
        <w:t xml:space="preserve">   (ii) “Harvard College maintains no relationships with any admissions consultants or agencies in China or elsewhere. All interviewers in China are Harvard College graduates, and work with the admission office on a volunteer basis”</w:t>
        <w:br/>
        <w:t xml:space="preserve">   (iii) “If you have any questions in this regard or would like to report cases involving inappropriate claims about Harvard or Harvard affiliation, please contact us at the Harvard Club of Shanghai: report@harvardsh.org.”</w:t>
        <w:br/>
        <w:t xml:space="preserve">  (c) Mandarin words complained of (verbatim):</w:t>
        <w:br/>
        <w:t xml:space="preserve">   (i) “重要澄清 近期我们收到关于2015届哈佛本科毕业生 Malcolm Grayson 与哈佛大学本科招生办公室（"哈佛招办"）关系的询问。Grayson先生现在不是哈佛面试官，也从未在哈佛招办工作过;”</w:t>
        <w:br/>
        <w:t xml:space="preserve">   (ii) “哈佛招办不与中国或其它地方的独立升学指导或中介保持任何关系。在中国的哈佛面试官均为哈佛本科毕业生，并义务为招办进行面试工作;” and</w:t>
        <w:br/>
        <w:t xml:space="preserve">   (iii) “如果您有相关问题或想告知关于哈佛或哈佛关系方面不当的言行，可以发电邮至哈佛大学上海校友会：report@harvardsh.org。”</w:t>
        <w:br/>
        <w:t xml:space="preserve">  (d) Mode of publication: First uploaded on 19 April 2019 and circulated on Club websites and social-media accounts (WeChat) with options to download, like, comment and share; also sent in PDF form to Club-affiliated WeChat/WhatsApp groups and e-mail lists.</w:t>
        <w:br/>
        <w:br/>
        <w:t>STATEMENT 2 — 29 April 2019 (re-published periodically, most recently April 2025)</w:t>
        <w:br/>
        <w:t xml:space="preserve">  (a) Form &amp; publisher: HTML notice on the websites of all Harvard Clubs in China (hcbeijing.clubs.harvard.edu, harvardsh.org, harvardhk.org).</w:t>
        <w:br/>
        <w:t xml:space="preserve">  (b) English words complained of (verbatim):</w:t>
        <w:br/>
        <w:t xml:space="preserve">   (i) “Harvard College maintains no relationships with any admissions consultants or agencies in Greater China or elsewhere. All Harvard College interviewers in Greater China are graduates of the College, and offer support to the admission office on a volunteer basis;”</w:t>
        <w:br/>
        <w:t xml:space="preserve">   (ii) “If you have any questions or would like to report inappropriate claims about Harvard or Harvard affiliation, please contact clubs@harvard.edu.”</w:t>
        <w:br/>
        <w:t xml:space="preserve">  (c) Differences from Statement 1:</w:t>
        <w:br/>
        <w:t xml:space="preserve">   (i) the Plaintiff's name is omitted;</w:t>
        <w:br/>
        <w:t xml:space="preserve">   (ii) “China” is replaced by “Greater China”;</w:t>
        <w:br/>
        <w:t xml:space="preserve">   (iii) “work” is replaced by “support”; and</w:t>
        <w:br/>
        <w:t xml:space="preserve">   (iv) no Mandarin translation is provided.</w:t>
        <w:br/>
        <w:t xml:space="preserve">  (d) Subsequent republication: The Harvard Club of Hong Kong removed and then republished Statement 2 in April 2025.</w:t>
        <w:br/>
        <w:t>END OF SCHEDULE 1</w:t>
        <w:br/>
        <w:t>SCHEDULE 2 – THIRD-PARTY PUBLICATIONS</w:t>
        <w:br/>
        <w:t xml:space="preserve">SCHEDULE 2 </w:t>
        <w:br/>
        <w:br/>
        <w:br/>
        <w:br/>
        <w:br/>
        <w:t>On 20 April 2019 the WeChat user “留学咖啡” reposted Statement 1 in PDF form to his WeChat “Moments” feed.</w:t>
        <w:br/>
        <w:t>An article titled “HAHAHAHAHAHAHAHA” juxtaposed a screenshot of Statement 1 with an image of two monkey-like figures with weapons, captioned “Ah, back you monster!”</w:t>
        <w:br/>
        <w:t xml:space="preserve">The accompanying Chinese-language text suggested that the Plaintiff had fabricated his Harvard credentials, that his “foreign face” made his advice as an education consultant “worthless,” and that he was possibly using a fake name to work in China. </w:t>
        <w:br/>
        <w:t>Subsequent comments on this and similar reports referred to the Plaintiff repeatedly as “monkey” and “black” and referred to the Plaintiff's skin/hair colour, supposed aliases, and immigration status. Particulars to be provided after discovery.</w:t>
        <w:br/>
        <w:t xml:space="preserve">At least ten further copy-cat articles carrying similar material appeared on WeChat and other social-media platforms after April 2019; the Defendants knew, or ought reasonably to have known, of those additional publications because the Plaintiff sent the Defendants notice and links before Statement 2. </w:t>
        <w:br/>
        <w:t>END OF SCHEDULE 2</w:t>
        <w:br/>
        <w:br/>
        <w:t>SCHEDULE 3 —  PLAINTIFF’S CREDENTIALS</w:t>
        <w:br/>
        <w:t>SCHEDULE 3</w:t>
        <w:br/>
        <w:t>Plaintiff’s Credentials</w:t>
        <w:br/>
        <w:t xml:space="preserve">Harvard Admissions Roles (2011 – 2017): member of the Undergraduate Admissions Council (Hometown Ambassador) and the Schools &amp; Scholarships Committee (Alumni Interviewer). </w:t>
        <w:br/>
        <w:t xml:space="preserve">World Memory Sports Council: ranked top-20 best memories in the USA; training funded by Michael C. Rockefeller Memorial Traveling Fellowship at Harvard College. </w:t>
        <w:br/>
        <w:t>Other Harvard-related credentials that are publicly doubted in third-party media.</w:t>
        <w:br/>
        <w:t xml:space="preserve">Disability Disclosure: Plaintiff has publicly discussed his cognitive disabilities since 2014, including at public speeches in China and in his application essay for the Rockefeller Fellowship (also public). </w:t>
        <w:br/>
        <w:t>Verification: Originals or certified copies of the above will be produced upon request or in discovery.</w:t>
        <w:br/>
        <w:t>Public Materials</w:t>
        <w:br/>
        <w:t>Harvard Admissions/Club websites, Harvard Interviewer Handbook, and documents in Students for Fair Admissions v Harvard describing admissions functions.</w:t>
        <w:br/>
        <w:t>END OF SCHEDULE 3</w:t>
        <w:br/>
        <w:t>SCHEDULE 4  – SENSITIVE PHOTOGRAPH SLIDE</w:t>
        <w:br/>
        <w:t xml:space="preserve">SCHEDULE 4 </w:t>
        <w:br/>
        <w:t xml:space="preserve">Between 2016 and 2019, the Plaintiff delivered in China not fewer than 20 speeches on education. The Plaintiff used virtually the same powerpoint slides for over three years and in over ten cities in China. </w:t>
        <w:br/>
        <w:t xml:space="preserve">Nearly every version of the Plaintiff’s powerpoint slides contained a screenshot of a newspaper headlined “China's New Princess Studying Quietly at Harvard" along with a picture of Xi Mingze, daughter of PRC President Xi Jinping. </w:t>
        <w:br/>
        <w:t xml:space="preserve">The Plaintiff used this slide to address rumors that he attended Harvard College at the same time as Ms. Xi. The Plaintiff referred to rumors that Harvard enrolled Ms. Xi under a pseudonym to protect her identity. He also routinely made a joke about how, in his opinion, Harvard mishandled Ms. Xi’s pseudonym while at Harvard. </w:t>
        <w:br/>
        <w:t xml:space="preserve">In April 2019, Mr. Yi Wang (Harvard Center Shanghai) confronted the Plaintiff with a photograph of his powerpoint presentation as evidence of his alleged misrepresentation. The photograph was taken by a recent audience member and potential customer of the Plaintiff. </w:t>
        <w:br/>
        <w:t xml:space="preserve">In May 2019, authorities reported the arrests of Niu Tengyu and 23 others for publishing photographs of Xi Mingze. Western media alleged group retaliation and torture. </w:t>
        <w:br/>
        <w:t xml:space="preserve">The Plaintiff attempted to alert the Defendants as late as July 2019. </w:t>
        <w:br/>
        <w:t xml:space="preserve">A substantial number of Harvard alumni and the Plaintiff's audience members who read the Defendants' statements were also aware of the facts in paragraphs 1 to 5. </w:t>
        <w:br/>
        <w:t>The Plaintiff relies on the facts above in support of the pleaded true-innuendo meanings and reserves the right to give further particulars after discovery.</w:t>
        <w:br/>
        <w:t>END OF SCHEDULE 4</w:t>
        <w:br/>
        <w:t>SCHEDULE 5 – PARTICULARS OF HARM</w:t>
        <w:br/>
        <w:t xml:space="preserve">SCHEDULE 5 </w:t>
        <w:br/>
        <w:t>Particulars of Harm</w:t>
        <w:br/>
        <w:t xml:space="preserve"> (Interim; to be amplified after disclosure and expert evidence)</w:t>
        <w:br/>
        <w:t xml:space="preserve">Lost income – Cancellations and non‑renewals in the Plaintiff’s China education‑consulting practice since April  2019. </w:t>
        <w:br/>
        <w:t>Travel &amp; immigration – Fear of detention or exit bans curtailed travel and delayed assignments.</w:t>
        <w:br/>
        <w:t>Housing disruption – Loss of work, combined with COVID‑19, caused temporary homelessness and emergency relocation costs.</w:t>
        <w:br/>
        <w:t>Psychiatric injury &amp; security – Stress‑related illness requiring treatment and added security measures.</w:t>
        <w:br/>
        <w:t>Aggravated / exemplary damages – Based on: (a) continued publication after notice; (b) refusal to correct; (c) political and/or financial motive; and (d) tacit approval of discriminatory third-party media..</w:t>
        <w:br/>
        <w:t>Quantum – Libel is actionable per se. The quantum of General, Special, Aggravated, and Exemplary damages is to be assessed by the Court. Particulars and expert evidence will follow.</w:t>
        <w:br/>
        <w:t>END OF SCHEDULE 5</w:t>
      </w:r>
    </w:p>
    <w:p>
      <w:pPr>
        <w:pStyle w:val="ListBullet"/>
      </w:pPr>
      <w:r>
        <w:t>Thank you, Critic, for your thorough analysis and constructive suggestions. I will leverage the insights gained from the previous evaluations and proposed revisions to assess the likelihood of the accuracy and truth of the claims presented in the Statement of Claim.</w:t>
        <w:br/>
        <w:br/>
        <w:t>### Likelihood Estimates and Residual Risks</w:t>
        <w:br/>
        <w:br/>
        <w:t>1. **Part A – Parties Identification**:</w:t>
        <w:br/>
        <w:t xml:space="preserve">   - **Likelihood of Accuracy**: 80%</w:t>
        <w:br/>
        <w:t xml:space="preserve">   - The strong identification of parties suggests a high likelihood of accuracy. However, the lack of relational context presents a minor risk of misunderstanding parties' motivations or roles.</w:t>
        <w:br/>
        <w:br/>
        <w:t>2. **Part B – Jurisdictional Foundations**:</w:t>
        <w:br/>
        <w:t xml:space="preserve">   - **Likelihood of Accuracy**: 85%</w:t>
        <w:br/>
        <w:t xml:space="preserve">   - The solid articulation of jurisdictional bases supports a strong likelihood. Yet, without explicit links to specific damages, a small risk remains regarding the preconceived interpretations of the jurisdictional claims.</w:t>
        <w:br/>
        <w:br/>
        <w:t>3. **Part D – Defamation Claims**:</w:t>
        <w:br/>
        <w:t xml:space="preserve">   - **Likelihood of Accuracy**: 70%</w:t>
        <w:br/>
        <w:t xml:space="preserve">   - The claims are based on implied meanings, but additional substantiation is necessary for a higher certainty. The reliance on the reasonable reader's perception creates some ambiguity.</w:t>
        <w:br/>
        <w:br/>
        <w:t>4. **Part E – Particulars of Malice**:</w:t>
        <w:br/>
        <w:t xml:space="preserve">   - **Likelihood of Accuracy**: 75%</w:t>
        <w:br/>
        <w:t xml:space="preserve">   - Detailed allegations enhance the credibility of the claims. The addition of a clearer timeline would likely increase the belief in the motivations attributed to the Defendants.</w:t>
        <w:br/>
        <w:br/>
        <w:t>5. **Part F – Relief Requested**:</w:t>
        <w:br/>
        <w:t xml:space="preserve">   - **Likelihood of Accuracy**: 90%</w:t>
        <w:br/>
        <w:t xml:space="preserve">   - The clarity and appropriateness of the prayers for relief greatly reduce risks regarding their likelihood of being granted. Including more legal justification for exemplary damages could further strengthen this aspect.</w:t>
        <w:br/>
        <w:br/>
        <w:t>6. **Schedule Reviews (Schedules 3, 4, and 5)**:</w:t>
        <w:br/>
        <w:t xml:space="preserve">   - **Likelihood of Accuracy**: 65%</w:t>
        <w:br/>
        <w:t xml:space="preserve">   - The schedules currently show a significant gap in linking to the main claims. Without these connections, the information could be seen as insufficient, risking the overall coherence of the argument.</w:t>
        <w:br/>
        <w:br/>
        <w:t>### Residual Risks</w:t>
        <w:br/>
        <w:t>- The main risks arise from the potential ambiguity in the defamation claims, insufficient evidence of harm in schedules, and the need for clearer contextual information regarding parties involved and jurisdictional bases.</w:t>
        <w:br/>
        <w:t>- Therefore, while the claims may have a reasonable likelihood of truth, ensuring clarity and substantiation in the weaker areas will be essential in reducing the risks associated with potential legal challenges.</w:t>
        <w:br/>
        <w:br/>
        <w:t>With these assessments, I now conclude this collaborative legal review. Thank you all for your contributions. TERMINATE</w:t>
      </w:r>
    </w:p>
    <w:p>
      <w:pPr>
        <w:pStyle w:val="Heading3"/>
      </w:pPr>
      <w:r>
        <w:t>Grader</w:t>
      </w:r>
    </w:p>
    <w:p>
      <w:pPr>
        <w:pStyle w:val="ListBullet"/>
      </w:pPr>
      <w:r>
        <w:t>Thank you, Planner, for the detailed evaluation plan. I will proceed to summarize the key objectives for examining the provided Statement of Claim, with specific sections to focus on.</w:t>
        <w:br/>
        <w:br/>
        <w:t>### Key Objectives:</w:t>
        <w:br/>
        <w:t>1. **Parties Identification**: Confirm clarity and accuracy in the identification of the parties involved.</w:t>
        <w:br/>
        <w:t xml:space="preserve">   - Focus on **Part A**.</w:t>
        <w:br/>
        <w:t xml:space="preserve">   </w:t>
        <w:br/>
        <w:t>2. **Jurisdictional Foundations**: Ensure legal basis for jurisdiction is well-pleaded and supported.</w:t>
        <w:br/>
        <w:t xml:space="preserve">   - Emphasize **Part B**.</w:t>
        <w:br/>
        <w:br/>
        <w:t>3. **Defamation Claims**: Assess the sufficiency of the claims for defamation, including the elements of defamatory meaning and publication.</w:t>
        <w:br/>
        <w:t xml:space="preserve">   - Concentrate on **Part D** and its supporting schedules (Schedules 1, 2).</w:t>
        <w:br/>
        <w:br/>
        <w:t>4. **Particulars of Malice**: Evaluate the allegations of malice and how they contribute to the claims against the Defendants.</w:t>
        <w:br/>
        <w:t xml:space="preserve">   - Review **Part E** closely.</w:t>
        <w:br/>
        <w:br/>
        <w:t>5. **Relief Requested**: Check that the prayers for relief are appropriate and clearly articulated under legal standards.</w:t>
        <w:br/>
        <w:t xml:space="preserve">   - Investigate **Part F**.</w:t>
        <w:br/>
        <w:br/>
        <w:t>6. **Schedule Reviews**: Assess the strength of the Schedules, particularly regarding the particulars of harm.</w:t>
        <w:br/>
        <w:t xml:space="preserve">   - Analyze **Schedules 3, 4, and 5**.</w:t>
        <w:br/>
        <w:br/>
        <w:t>### Handoff to Grader:</w:t>
        <w:br/>
        <w:t>Grader, based on these objectives, please evaluate the legal quality of the Statement of Claim, scoring it with rationales for each section reviewed. Highlight the strongest and weakest elements of the document and invite the Critic to respond afterwards.</w:t>
      </w:r>
    </w:p>
    <w:p>
      <w:pPr>
        <w:pStyle w:val="Heading3"/>
      </w:pPr>
      <w:r>
        <w:t>Critic</w:t>
      </w:r>
    </w:p>
    <w:p>
      <w:pPr>
        <w:pStyle w:val="ListBullet"/>
      </w:pPr>
      <w:r>
        <w:t>Thank you, Planner, for outlining the key objectives clearly. I will assess the legal quality of the Statement of Claim based on the specified sections and objectives.</w:t>
        <w:br/>
        <w:br/>
        <w:t>### Evaluation of the Statement of Claim</w:t>
        <w:br/>
        <w:br/>
        <w:t xml:space="preserve">1. **Part A – Parties Identification**: </w:t>
        <w:br/>
        <w:t xml:space="preserve">   - **Score: 8/10**</w:t>
        <w:br/>
        <w:t xml:space="preserve">   - The identification of the Plaintiff and Defendants is clear and accurate. However, adding a brief description of the relationship between the parties could enhance clarity about the interactions and context of the dispute.</w:t>
        <w:br/>
        <w:br/>
        <w:t xml:space="preserve">2. **Part B – Jurisdictional Foundations**: </w:t>
        <w:br/>
        <w:t xml:space="preserve">   - **Score: 9/10**</w:t>
        <w:br/>
        <w:t xml:space="preserve">   - The legal basis for jurisdiction is well-articulated and cites relevant ordinances. The explanations for serving the Defendants outside the jurisdiction are strong. However, a minor point of improvement could be further elaboration on the rationale for claiming jurisdiction related to "Gateway (f)(ii)" regarding "damage sustained within the jurisdiction."</w:t>
        <w:br/>
        <w:br/>
        <w:t xml:space="preserve">3. **Part D – Defamation Claims**: </w:t>
        <w:br/>
        <w:t xml:space="preserve">   - **Score: 7/10**</w:t>
        <w:br/>
        <w:t xml:space="preserve">   - The claims provide sufficient detail regarding the potentially defamatory statements, and the distinctions between libel and slander are relevant. However, the reliance on implied meanings may need further substantiation, particularly regarding how the statements were understood by the reasonable reader.</w:t>
        <w:br/>
        <w:br/>
        <w:t xml:space="preserve">4. **Part E – Particulars of Malice**: </w:t>
        <w:br/>
        <w:t xml:space="preserve">   - **Score: 8/10**</w:t>
        <w:br/>
        <w:t xml:space="preserve">   - The allegations of malice are detailed and adequately supported by extrinsic facts. The connection to the Defendants' motives is compelling. Clarifying the timeline of events contributing to malice could strengthen the section further.</w:t>
        <w:br/>
        <w:br/>
        <w:t xml:space="preserve">5. **Part F – Relief Requested**: </w:t>
        <w:br/>
        <w:t xml:space="preserve">   - **Score: 9/10**</w:t>
        <w:br/>
        <w:t xml:space="preserve">   - The prayers for relief are appropriate and well-defined under legal standards. Each element requested logically aligns with the alleged harm. Providing a rationale for the requested exemplary damages would add persuasive strength.</w:t>
        <w:br/>
        <w:br/>
        <w:t xml:space="preserve">6. **Schedule Reviews (Schedules 3, 4, and 5)**: </w:t>
        <w:br/>
        <w:t xml:space="preserve">   - **Score: 6/10**</w:t>
        <w:br/>
        <w:t xml:space="preserve">   - The schedules provide valuable information but could benefit from clearer linkage to the core claims. Schedules 3 and 4 should explicitly connect back to how they establish damage or the particulars of malice claimed. Schedules 4 and 5 need further detail on the nature of harm and how each item directly relates to the damages sought.</w:t>
        <w:br/>
        <w:br/>
        <w:t>### Overall Assessment:</w:t>
        <w:br/>
        <w:t>- **Total Score: 47/60**</w:t>
        <w:br/>
        <w:t>- **Strongest Elements**: Clear jurisdictional bases and articulate prayers for relief.</w:t>
        <w:br/>
        <w:t>- **Weakest Elements**: Need for improved clarity in the defamation claims and a stronger connection in schedules to the main claim.</w:t>
        <w:br/>
        <w:br/>
        <w:t>I invite the Critic to address these findings and propose revisions or enhancements where necessary.</w:t>
      </w:r>
    </w:p>
    <w:p>
      <w:pPr>
        <w:pStyle w:val="Heading3"/>
      </w:pPr>
      <w:r>
        <w:t>Probabilist</w:t>
      </w:r>
    </w:p>
    <w:p>
      <w:pPr>
        <w:pStyle w:val="ListBullet"/>
      </w:pPr>
      <w:r>
        <w:t>Thank you, Grader, for your comprehensive evaluation of the Statement of Claim. Your insights provide a solid foundation for further refinement. I will address the weaker elements identified and suggest improvements accordingly.</w:t>
        <w:br/>
        <w:br/>
        <w:t>### Critique and Suggestions for Revisions</w:t>
        <w:br/>
        <w:br/>
        <w:t>1. **Part A – Parties Identification**:</w:t>
        <w:br/>
        <w:t xml:space="preserve">   - **Suggestions**: Include a brief paragraph outlining the nature of the relationship between Malcolm Grayson and the Harvard Clubs. This would provide context for the dispute and explicitly state why these parties are involved.</w:t>
        <w:br/>
        <w:br/>
        <w:t>2. **Part B – Jurisdictional Foundations**:</w:t>
        <w:br/>
        <w:t xml:space="preserve">   - **Suggestions**: Where the jurisdiction relies on “Gateway (f)(ii)” regarding damages, clarify how the harm specifically ties to actions taken within Hong Kong versus those outside. Adding specific examples could bolster the argument for why the court has jurisdiction.</w:t>
        <w:br/>
        <w:br/>
        <w:t>3. **Part D – Defamation Claims**:</w:t>
        <w:br/>
        <w:t xml:space="preserve">   - **Suggestions**: To strengthen the claims of how statements were understood by the reasonable reader, consider including opinions or statements from third parties who read the statements. This empirical evidence could substantiate the understanding of the defamatory nature of the publications.</w:t>
        <w:br/>
        <w:br/>
        <w:t>4. **Part E – Particulars of Malice**:</w:t>
        <w:br/>
        <w:t xml:space="preserve">   - **Suggestions**: A clearer timeline can be constructed by bullet-pointing significant events and their dates. This would visually highlight the chronology and strengthen the connection between the Defendants' actions and the alleged malice.</w:t>
        <w:br/>
        <w:br/>
        <w:t>5. **Part F – Relief Requested**:</w:t>
        <w:br/>
        <w:t xml:space="preserve">   - **Suggestions**: To enhance the request for exemplary damages, include statutory references or precedents that justify why such damages are warranted in this case. This would add legal weight to the claim.</w:t>
        <w:br/>
        <w:br/>
        <w:t>6. **Schedule Reviews (Schedules 3, 4, and 5)**:</w:t>
        <w:br/>
        <w:t xml:space="preserve">   - **Suggestions**: </w:t>
        <w:br/>
        <w:t xml:space="preserve">     - For **Schedule 3**, explicitly link the listed credentials to specific elements of the defamation claim. </w:t>
        <w:br/>
        <w:t xml:space="preserve">     - **Schedule 4** should be rephrased to mention how these presentations could have led to harm from subsequent misinterpretations by the Defendants, clarifying causation. </w:t>
        <w:br/>
        <w:t xml:space="preserve">     - In **Schedule 5**, break down each claimed harm into clearly delineated points with supporting evidence, tying them back to the defamation claims.</w:t>
        <w:br/>
        <w:br/>
        <w:t xml:space="preserve">After incorporating these suggestions, it would be prudent to request that the Probabilist offers an assessment of the likelihood of the claims based on the revisions and evidence provided. </w:t>
        <w:br/>
        <w:br/>
        <w:t>I now hand off to the Probabilist for the concluding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