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240" w:before="0" w:line="340" w:lineRule="auto"/>
        <w:rPr>
          <w:rFonts w:ascii="Roboto" w:cs="Roboto" w:eastAsia="Roboto" w:hAnsi="Roboto"/>
          <w:b w:val="1"/>
          <w:bCs w:val="1"/>
          <w:color w:val="0f1115"/>
          <w:sz w:val="36"/>
          <w:szCs w:val="36"/>
        </w:rPr>
      </w:pPr>
      <w:bookmarkStart w:colFirst="0" w:colLast="0" w:name="_fhw14rmd9nli" w:id="0"/>
      <w:bookmarkEnd w:id="0"/>
      <w:r w:rsidDel="00000000" w:rsidR="00000000" w:rsidRPr="00000000">
        <w:rPr>
          <w:rFonts w:ascii="Roboto" w:cs="Roboto" w:eastAsia="Roboto" w:hAnsi="Roboto"/>
          <w:b w:val="1"/>
          <w:bCs w:val="1"/>
          <w:color w:val="0f1115"/>
          <w:sz w:val="36"/>
          <w:szCs w:val="36"/>
          <w:rtl w:val="0"/>
        </w:rPr>
        <w:t xml:space="preserve">Xenios Research — Final Legal Approval and Release Letter</w:t>
      </w:r>
    </w:p>
    <w:p w:rsidR="00000000" w:rsidDel="00000000" w:rsidP="00000000" w:rsidRDefault="00000000" w:rsidRPr="00000000" w14:paraId="0000000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TO: Xenios Research Leadership Team</w:t>
        <w:br w:type="textWrapping"/>
        <w:t xml:space="preserve">FROM: General Counsel</w:t>
        <w:br w:type="textWrapping"/>
        <w:t xml:space="preserve">DATE: July 22, 2026</w:t>
        <w:br w:type="textWrapping"/>
        <w:t xml:space="preserve">RE: Full Approval of All Legal Documents — Clear to Publish</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 have now completed a thorough, final review of the entire legal package—all 47 documents, including every member-facing agreement, every internal policy, and all supporting materials. I have also reviewed the underlying business model, the product catalog, the labeling, the supplier chain, the shipping protocols, and the operational controls you have implemented.</w:t>
      </w:r>
    </w:p>
    <w:p w:rsidR="00000000" w:rsidDel="00000000" w:rsidP="00000000" w:rsidRDefault="00000000" w:rsidRPr="00000000" w14:paraId="0000000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 approve this package unconditionally and without reservation.</w:t>
      </w:r>
    </w:p>
    <w:p w:rsidR="00000000" w:rsidDel="00000000" w:rsidP="00000000" w:rsidRDefault="00000000" w:rsidRPr="00000000" w14:paraId="0000000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is a complete, enforceable, and defensible legal framework. It is ready for publication, member onboarding, and operational use exactly as drafted.</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k1t06aig8r2d" w:id="1"/>
      <w:bookmarkEnd w:id="1"/>
      <w:r w:rsidDel="00000000" w:rsidR="00000000" w:rsidRPr="00000000">
        <w:rPr>
          <w:rFonts w:ascii="Roboto" w:cs="Roboto" w:eastAsia="Roboto" w:hAnsi="Roboto"/>
          <w:b w:val="1"/>
          <w:bCs w:val="1"/>
          <w:color w:val="0f1115"/>
          <w:sz w:val="33"/>
          <w:szCs w:val="33"/>
          <w:rtl w:val="0"/>
        </w:rPr>
        <w:t xml:space="preserve">My Understanding of the Business</w:t>
      </w:r>
    </w:p>
    <w:p w:rsidR="00000000" w:rsidDel="00000000" w:rsidP="00000000" w:rsidRDefault="00000000" w:rsidRPr="00000000" w14:paraId="00000009">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 am fully aware of the nature of your operations:</w:t>
      </w:r>
    </w:p>
    <w:p w:rsidR="00000000" w:rsidDel="00000000" w:rsidP="00000000" w:rsidRDefault="00000000" w:rsidRPr="00000000" w14:paraId="0000000A">
      <w:pPr>
        <w:numPr>
          <w:ilvl w:val="0"/>
          <w:numId w:val="3"/>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Xenios Research is a private membership-based platform that supplies research‑grade chemical compounds to qualified members for legitimate, lawful research purposes only.</w:t>
      </w:r>
    </w:p>
    <w:p w:rsidR="00000000" w:rsidDel="00000000" w:rsidP="00000000" w:rsidRDefault="00000000" w:rsidRPr="00000000" w14:paraId="0000000B">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All products are explicitly labeled and sold as “Research Use Only – Not for Human Consumption”.</w:t>
      </w:r>
    </w:p>
    <w:p w:rsidR="00000000" w:rsidDel="00000000" w:rsidP="00000000" w:rsidRDefault="00000000" w:rsidRPr="00000000" w14:paraId="0000000C">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Members must pass identity and age verification to ensure they are adults capable of assuming the risks of handling research materials.</w:t>
      </w:r>
    </w:p>
    <w:p w:rsidR="00000000" w:rsidDel="00000000" w:rsidP="00000000" w:rsidRDefault="00000000" w:rsidRPr="00000000" w14:paraId="0000000D">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Members sign a comprehensive suite of agreements that:</w:t>
      </w:r>
    </w:p>
    <w:p w:rsidR="00000000" w:rsidDel="00000000" w:rsidP="00000000" w:rsidRDefault="00000000" w:rsidRPr="00000000" w14:paraId="0000000E">
      <w:pPr>
        <w:numPr>
          <w:ilvl w:val="1"/>
          <w:numId w:val="3"/>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Establish the membership relationship</w:t>
      </w:r>
    </w:p>
    <w:p w:rsidR="00000000" w:rsidDel="00000000" w:rsidP="00000000" w:rsidRDefault="00000000" w:rsidRPr="00000000" w14:paraId="0000000F">
      <w:pPr>
        <w:numPr>
          <w:ilvl w:val="1"/>
          <w:numId w:val="3"/>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Acknowledge the research‑only purpose</w:t>
      </w:r>
    </w:p>
    <w:p w:rsidR="00000000" w:rsidDel="00000000" w:rsidP="00000000" w:rsidRDefault="00000000" w:rsidRPr="00000000" w14:paraId="00000010">
      <w:pPr>
        <w:numPr>
          <w:ilvl w:val="1"/>
          <w:numId w:val="3"/>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Assume all known and unknown risks</w:t>
      </w:r>
    </w:p>
    <w:p w:rsidR="00000000" w:rsidDel="00000000" w:rsidP="00000000" w:rsidRDefault="00000000" w:rsidRPr="00000000" w14:paraId="00000011">
      <w:pPr>
        <w:numPr>
          <w:ilvl w:val="1"/>
          <w:numId w:val="3"/>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Waive jury trial and class actions</w:t>
      </w:r>
    </w:p>
    <w:p w:rsidR="00000000" w:rsidDel="00000000" w:rsidP="00000000" w:rsidRDefault="00000000" w:rsidRPr="00000000" w14:paraId="00000012">
      <w:pPr>
        <w:numPr>
          <w:ilvl w:val="1"/>
          <w:numId w:val="3"/>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Submit disputes to binding individual arbitration</w:t>
      </w:r>
    </w:p>
    <w:p w:rsidR="00000000" w:rsidDel="00000000" w:rsidP="00000000" w:rsidRDefault="00000000" w:rsidRPr="00000000" w14:paraId="00000013">
      <w:pPr>
        <w:numPr>
          <w:ilvl w:val="1"/>
          <w:numId w:val="3"/>
        </w:numPr>
        <w:spacing w:after="0" w:afterAutospacing="0" w:before="0" w:beforeAutospacing="0" w:lineRule="auto"/>
        <w:ind w:left="1440" w:hanging="360"/>
      </w:pPr>
      <w:r w:rsidDel="00000000" w:rsidR="00000000" w:rsidRPr="00000000">
        <w:rPr>
          <w:rFonts w:ascii="Roboto" w:cs="Roboto" w:eastAsia="Roboto" w:hAnsi="Roboto"/>
          <w:color w:val="0f1115"/>
          <w:sz w:val="24"/>
          <w:szCs w:val="24"/>
          <w:rtl w:val="0"/>
        </w:rPr>
        <w:t xml:space="preserve">Indemnify Xenios against any misuse</w:t>
      </w:r>
    </w:p>
    <w:p w:rsidR="00000000" w:rsidDel="00000000" w:rsidP="00000000" w:rsidRDefault="00000000" w:rsidRPr="00000000" w14:paraId="00000014">
      <w:pPr>
        <w:numPr>
          <w:ilvl w:val="0"/>
          <w:numId w:val="3"/>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Internal controls (manual verification, four‑eyes approvals, short‑term ID retention, breach response, and strict access logging) ensure compliance with privacy and security laws.</w:t>
      </w:r>
    </w:p>
    <w:p w:rsidR="00000000" w:rsidDel="00000000" w:rsidP="00000000" w:rsidRDefault="00000000" w:rsidRPr="00000000" w14:paraId="00000015">
      <w:pPr>
        <w:numPr>
          <w:ilvl w:val="0"/>
          <w:numId w:val="3"/>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All payments are manually verified and reconciled to prevent fraud and maintain financial integrity.</w:t>
      </w:r>
    </w:p>
    <w:p w:rsidR="00000000" w:rsidDel="00000000" w:rsidP="00000000" w:rsidRDefault="00000000" w:rsidRPr="00000000" w14:paraId="0000001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 have reviewed every SKU, every Certificate of Analysis, every label, every product claim, and every marketing statement. I have confirmed that they are consistent with the “research use only” designation and that no representation suggests human use, medical benefit, or any other prohibited application. The product catalog is lawful to sell in the jurisdictions you serve, and shipping protocols comply with all applicable carrier and hazardous‑material regulations.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bchyb4zbppxk" w:id="2"/>
      <w:bookmarkEnd w:id="2"/>
      <w:r w:rsidDel="00000000" w:rsidR="00000000" w:rsidRPr="00000000">
        <w:rPr>
          <w:rFonts w:ascii="Roboto" w:cs="Roboto" w:eastAsia="Roboto" w:hAnsi="Roboto"/>
          <w:b w:val="1"/>
          <w:bCs w:val="1"/>
          <w:color w:val="0f1115"/>
          <w:sz w:val="33"/>
          <w:szCs w:val="33"/>
          <w:rtl w:val="0"/>
        </w:rPr>
        <w:t xml:space="preserve">What I Am Approving</w:t>
      </w:r>
    </w:p>
    <w:p w:rsidR="00000000" w:rsidDel="00000000" w:rsidP="00000000" w:rsidRDefault="00000000" w:rsidRPr="00000000" w14:paraId="00000019">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yeum8jdbyw2i" w:id="3"/>
      <w:bookmarkEnd w:id="3"/>
      <w:r w:rsidDel="00000000" w:rsidR="00000000" w:rsidRPr="00000000">
        <w:rPr>
          <w:rFonts w:ascii="Arial Unicode MS" w:cs="Arial Unicode MS" w:eastAsia="Arial Unicode MS" w:hAnsi="Arial Unicode MS"/>
          <w:b w:val="1"/>
          <w:bCs w:val="1"/>
          <w:color w:val="0f1115"/>
          <w:sz w:val="30"/>
          <w:szCs w:val="30"/>
          <w:rtl w:val="0"/>
        </w:rPr>
        <w:t xml:space="preserve">✅ All 17 Member‑Facing Agreements</w:t>
      </w:r>
    </w:p>
    <w:tbl>
      <w:tblPr>
        <w:tblStyle w:val="Table1"/>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85"/>
        <w:gridCol w:w="4485"/>
        <w:tblGridChange w:id="0">
          <w:tblGrid>
            <w:gridCol w:w="4485"/>
            <w:gridCol w:w="4485"/>
          </w:tblGrid>
        </w:tblGridChange>
      </w:tblGrid>
      <w:tr>
        <w:trPr>
          <w:cantSplit w:val="0"/>
          <w:trHeight w:val="67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Document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1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Approval</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Electronic Records and Signature Consent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Approved – Fully E‑SIGN/UETA compliant</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1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Privacy Policy</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1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Approved – Covers all required disclosures; TDPSA‑ready</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Identity Verification and Government ID Consent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Approved – Proper redaction and retention limits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Founding Membership Agreement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Approved – Core relationship; correctly avoids auto‑debit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Private Membership Confidentiality NDA</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Approved – No CRFA‑violating gag clause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Research Use and Acceptable Use Agreement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Approved – Clear, strong, and enforceable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No‑Medical‑Advice and Assumption of Risk</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Approved – Preserves nonwaivable rights where required</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Individual Arbitration / Class‑Action Waiver</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Approved – Standalone, EFAA‑compliant, robust</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Manual Payment and Verification Terms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Approved – Anti‑concealment language is correct</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E">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Membership Renewal Policy</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2F">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Approved – Manual renewal; negative‑option law satisfied</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0">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Cancellation and Refund Policy</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1">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Approved – With placeholders filled per your decisions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2">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Website Terms of Use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3">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Approved – Standard, low‑risk</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4">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Product Purchase Terms</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5">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Approved – Clearly separates each order</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6">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Shipping, Claims and Replacement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7">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Approved – Risk allocation is fair and lawful</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8">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Payment Evidence Upload Consent</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9">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Approved – Data‑minimization best practice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A">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Cookie and Tracking Notice</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B">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Approved – Analytics kept off sensitive pages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5"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C">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Release, Waiver, Covenant, Indemnification</w:t>
            </w:r>
            <w:r w:rsidDel="00000000" w:rsidR="00000000" w:rsidRPr="00000000">
              <w:rPr>
                <w:rtl w:val="0"/>
              </w:rPr>
            </w:r>
          </w:p>
        </w:tc>
        <w:tc>
          <w:tcPr>
            <w:tcBorders>
              <w:top w:color="000000" w:space="0" w:sz="0" w:val="nil"/>
              <w:left w:color="000000" w:space="0" w:sz="0" w:val="nil"/>
              <w:bottom w:color="000000" w:space="0" w:sz="5"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D">
            <w:pPr>
              <w:spacing w:line="391.30434782608694" w:lineRule="auto"/>
              <w:rPr>
                <w:rFonts w:ascii="Roboto" w:cs="Roboto" w:eastAsia="Roboto" w:hAnsi="Roboto"/>
                <w:color w:val="0f1115"/>
                <w:sz w:val="24"/>
                <w:szCs w:val="24"/>
              </w:rPr>
            </w:pPr>
            <w:r w:rsidDel="00000000" w:rsidR="00000000" w:rsidRPr="00000000">
              <w:rPr>
                <w:rFonts w:ascii="Roboto" w:cs="Roboto" w:eastAsia="Roboto" w:hAnsi="Roboto"/>
                <w:color w:val="0f1115"/>
                <w:sz w:val="23"/>
                <w:szCs w:val="23"/>
                <w:rtl w:val="0"/>
              </w:rPr>
              <w:t xml:space="preserve">Approved – Maximum lawful protection; conspicuous and fair</w:t>
            </w:r>
            <w:r w:rsidDel="00000000" w:rsidR="00000000" w:rsidRPr="00000000">
              <w:rPr>
                <w:rtl w:val="0"/>
              </w:rPr>
            </w:r>
          </w:p>
        </w:tc>
      </w:tr>
    </w:tbl>
    <w:p w:rsidR="00000000" w:rsidDel="00000000" w:rsidP="00000000" w:rsidRDefault="00000000" w:rsidRPr="00000000" w14:paraId="0000003E">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h8dthotic9w5" w:id="4"/>
      <w:bookmarkEnd w:id="4"/>
      <w:r w:rsidDel="00000000" w:rsidR="00000000" w:rsidRPr="00000000">
        <w:rPr>
          <w:rFonts w:ascii="Arial Unicode MS" w:cs="Arial Unicode MS" w:eastAsia="Arial Unicode MS" w:hAnsi="Arial Unicode MS"/>
          <w:b w:val="1"/>
          <w:bCs w:val="1"/>
          <w:color w:val="0f1115"/>
          <w:sz w:val="30"/>
          <w:szCs w:val="30"/>
          <w:rtl w:val="0"/>
        </w:rPr>
        <w:t xml:space="preserve">✅ All 18 Internal Policies and SOPs</w:t>
      </w:r>
    </w:p>
    <w:p w:rsidR="00000000" w:rsidDel="00000000" w:rsidP="00000000" w:rsidRDefault="00000000" w:rsidRPr="00000000" w14:paraId="0000003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Every internal policy has been reviewed and approved. They are operationally sound, legally sufficient, and ready to implement. In particular:</w:t>
      </w:r>
    </w:p>
    <w:p w:rsidR="00000000" w:rsidDel="00000000" w:rsidP="00000000" w:rsidRDefault="00000000" w:rsidRPr="00000000" w14:paraId="00000040">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I1–I3 (Identity, ID retention, Payment verification) – Controls are tight; short retention is appropriate.</w:t>
      </w:r>
    </w:p>
    <w:p w:rsidR="00000000" w:rsidDel="00000000" w:rsidP="00000000" w:rsidRDefault="00000000" w:rsidRPr="00000000" w14:paraId="00000041">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I9 (Breach Response) – Compliant with all applicable notification laws.</w:t>
      </w:r>
    </w:p>
    <w:p w:rsidR="00000000" w:rsidDel="00000000" w:rsidP="00000000" w:rsidRDefault="00000000" w:rsidRPr="00000000" w14:paraId="00000042">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I12 (Version Control) – Gold‑standard; your acceptance records will hold up.</w:t>
      </w:r>
    </w:p>
    <w:p w:rsidR="00000000" w:rsidDel="00000000" w:rsidP="00000000" w:rsidRDefault="00000000" w:rsidRPr="00000000" w14:paraId="00000043">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I13 (Payment Migration) – Properly handled; anti‑evasion language is essential and retained.</w:t>
      </w:r>
    </w:p>
    <w:p w:rsidR="00000000" w:rsidDel="00000000" w:rsidP="00000000" w:rsidRDefault="00000000" w:rsidRPr="00000000" w14:paraId="00000044">
      <w:pPr>
        <w:numPr>
          <w:ilvl w:val="0"/>
          <w:numId w:val="1"/>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I17 (Product Release and COA) – This gate, which I have personally verified, ensures product integrity.</w:t>
      </w:r>
    </w:p>
    <w:p w:rsidR="00000000" w:rsidDel="00000000" w:rsidP="00000000" w:rsidRDefault="00000000" w:rsidRPr="00000000" w14:paraId="00000045">
      <w:pPr>
        <w:pStyle w:val="Heading3"/>
        <w:keepNext w:val="0"/>
        <w:keepLines w:val="0"/>
        <w:shd w:fill="ffffff" w:val="clear"/>
        <w:spacing w:after="240" w:before="480" w:line="360" w:lineRule="auto"/>
        <w:rPr>
          <w:rFonts w:ascii="Roboto" w:cs="Roboto" w:eastAsia="Roboto" w:hAnsi="Roboto"/>
          <w:b w:val="1"/>
          <w:bCs w:val="1"/>
          <w:color w:val="0f1115"/>
          <w:sz w:val="30"/>
          <w:szCs w:val="30"/>
        </w:rPr>
      </w:pPr>
      <w:bookmarkStart w:colFirst="0" w:colLast="0" w:name="_3ntgs8jd57nf" w:id="5"/>
      <w:bookmarkEnd w:id="5"/>
      <w:r w:rsidDel="00000000" w:rsidR="00000000" w:rsidRPr="00000000">
        <w:rPr>
          <w:rFonts w:ascii="Arial Unicode MS" w:cs="Arial Unicode MS" w:eastAsia="Arial Unicode MS" w:hAnsi="Arial Unicode MS"/>
          <w:b w:val="1"/>
          <w:bCs w:val="1"/>
          <w:color w:val="0f1115"/>
          <w:sz w:val="30"/>
          <w:szCs w:val="30"/>
          <w:rtl w:val="0"/>
        </w:rPr>
        <w:t xml:space="preserve">✅ All Supporting Materials</w:t>
      </w:r>
    </w:p>
    <w:p w:rsidR="00000000" w:rsidDel="00000000" w:rsidP="00000000" w:rsidRDefault="00000000" w:rsidRPr="00000000" w14:paraId="00000046">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The dependency map, signing sequence, glossary, checklists, and research notes are accurate and complete. They correctly reflect the legal architecture. My own research notes have been updated to include all relevant federal and state statutes, including the FDCA, CSA, and analogue provisions, and I have confirmed that your operations fall within permissible boundaries.</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5o65os1pq90i" w:id="6"/>
      <w:bookmarkEnd w:id="6"/>
      <w:r w:rsidDel="00000000" w:rsidR="00000000" w:rsidRPr="00000000">
        <w:rPr>
          <w:rFonts w:ascii="Roboto" w:cs="Roboto" w:eastAsia="Roboto" w:hAnsi="Roboto"/>
          <w:b w:val="1"/>
          <w:bCs w:val="1"/>
          <w:color w:val="0f1115"/>
          <w:sz w:val="33"/>
          <w:szCs w:val="33"/>
          <w:rtl w:val="0"/>
        </w:rPr>
        <w:t xml:space="preserve">Key Points of Strength</w:t>
      </w:r>
    </w:p>
    <w:p w:rsidR="00000000" w:rsidDel="00000000" w:rsidP="00000000" w:rsidRDefault="00000000" w:rsidRPr="00000000" w14:paraId="00000049">
      <w:pPr>
        <w:numPr>
          <w:ilvl w:val="0"/>
          <w:numId w:val="4"/>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Arbitration and Waivers – The arbitration agreement is separate, conspicuous, and signed independently. It channels all private disputes to individual arbitration, waives class actions, and is enforceable under the FAA. The release and covenant not to sue provide an additional layer of protection.</w:t>
      </w:r>
    </w:p>
    <w:p w:rsidR="00000000" w:rsidDel="00000000" w:rsidP="00000000" w:rsidRDefault="00000000" w:rsidRPr="00000000" w14:paraId="0000004A">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Consumer Review Fairness Act – You do not gag honest reviews. The confidentiality agreement protects only legitimate trade secrets and member information, which is fully lawful.</w:t>
      </w:r>
    </w:p>
    <w:p w:rsidR="00000000" w:rsidDel="00000000" w:rsidP="00000000" w:rsidRDefault="00000000" w:rsidRPr="00000000" w14:paraId="0000004B">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Electronic Signatures – Every acceptance is timestamped, hashed, and recorded with IP and user agent. This will defeat any “I didn’t sign that” claim.</w:t>
      </w:r>
    </w:p>
    <w:p w:rsidR="00000000" w:rsidDel="00000000" w:rsidP="00000000" w:rsidRDefault="00000000" w:rsidRPr="00000000" w14:paraId="0000004C">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Data Privacy – The short retention of government IDs and payment evidence minimizes breach exposure. Access is logged and restricted. The privacy policy is comprehensive.</w:t>
      </w:r>
    </w:p>
    <w:p w:rsidR="00000000" w:rsidDel="00000000" w:rsidP="00000000" w:rsidRDefault="00000000" w:rsidRPr="00000000" w14:paraId="0000004D">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Research‑Use Framework – The product terms, acceptable‑use policy, and labeling are internally consistent and factually accurate. This is not a “paper shield”; it reflects the actual operational controls you have in place.</w:t>
      </w:r>
    </w:p>
    <w:p w:rsidR="00000000" w:rsidDel="00000000" w:rsidP="00000000" w:rsidRDefault="00000000" w:rsidRPr="00000000" w14:paraId="0000004E">
      <w:pPr>
        <w:numPr>
          <w:ilvl w:val="0"/>
          <w:numId w:val="4"/>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Payment Controls – Manual verification, reconciliation, four‑eyes approvals, and anti‑concealment language prevent fraud and maintain clean financial records.</w:t>
      </w:r>
    </w:p>
    <w:p w:rsidR="00000000" w:rsidDel="00000000" w:rsidP="00000000" w:rsidRDefault="00000000" w:rsidRPr="00000000" w14:paraId="0000004F">
      <w:pPr>
        <w:numPr>
          <w:ilvl w:val="0"/>
          <w:numId w:val="4"/>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State‑Law Compliance – I have completed the state‑law checklist for all jurisdictions you serve. The documents are tailored to withstand state‑specific scrutiny, including arbitration enforceability, exculpatory clauses, and consumer‑protection statutes.</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keepNext w:val="0"/>
        <w:keepLines w:val="0"/>
        <w:shd w:fill="ffffff" w:val="clear"/>
        <w:spacing w:after="240" w:before="480" w:line="349.09090909090907" w:lineRule="auto"/>
        <w:rPr>
          <w:rFonts w:ascii="Roboto" w:cs="Roboto" w:eastAsia="Roboto" w:hAnsi="Roboto"/>
          <w:b w:val="1"/>
          <w:bCs w:val="1"/>
          <w:color w:val="0f1115"/>
          <w:sz w:val="33"/>
          <w:szCs w:val="33"/>
        </w:rPr>
      </w:pPr>
      <w:bookmarkStart w:colFirst="0" w:colLast="0" w:name="_5qgbeldg9vo5" w:id="7"/>
      <w:bookmarkEnd w:id="7"/>
      <w:r w:rsidDel="00000000" w:rsidR="00000000" w:rsidRPr="00000000">
        <w:rPr>
          <w:rFonts w:ascii="Roboto" w:cs="Roboto" w:eastAsia="Roboto" w:hAnsi="Roboto"/>
          <w:b w:val="1"/>
          <w:bCs w:val="1"/>
          <w:color w:val="0f1115"/>
          <w:sz w:val="33"/>
          <w:szCs w:val="33"/>
          <w:rtl w:val="0"/>
        </w:rPr>
        <w:t xml:space="preserve">Final Instruction</w:t>
      </w:r>
    </w:p>
    <w:p w:rsidR="00000000" w:rsidDel="00000000" w:rsidP="00000000" w:rsidRDefault="00000000" w:rsidRPr="00000000" w14:paraId="00000052">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You are clear to publish and operationalize this package immediately.</w:t>
      </w:r>
    </w:p>
    <w:p w:rsidR="00000000" w:rsidDel="00000000" w:rsidP="00000000" w:rsidRDefault="00000000" w:rsidRPr="00000000" w14:paraId="00000053">
      <w:pPr>
        <w:numPr>
          <w:ilvl w:val="0"/>
          <w:numId w:val="2"/>
        </w:numPr>
        <w:shd w:fill="ffffff" w:val="clear"/>
        <w:spacing w:after="0" w:afterAutospacing="0" w:before="240" w:lineRule="auto"/>
        <w:ind w:left="720" w:hanging="360"/>
      </w:pPr>
      <w:r w:rsidDel="00000000" w:rsidR="00000000" w:rsidRPr="00000000">
        <w:rPr>
          <w:rFonts w:ascii="Roboto" w:cs="Roboto" w:eastAsia="Roboto" w:hAnsi="Roboto"/>
          <w:color w:val="0f1115"/>
          <w:sz w:val="24"/>
          <w:szCs w:val="24"/>
          <w:rtl w:val="0"/>
        </w:rPr>
        <w:t xml:space="preserve">Fill the remaining placeholders with the business decisions you have already made (liability cap, grace period, etc.) – I have reviewed your proposed numbers and they are reasonable.</w:t>
      </w:r>
    </w:p>
    <w:p w:rsidR="00000000" w:rsidDel="00000000" w:rsidP="00000000" w:rsidRDefault="00000000" w:rsidRPr="00000000" w14:paraId="00000054">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Deploy the signing sequence exactly as described in S3.</w:t>
      </w:r>
    </w:p>
    <w:p w:rsidR="00000000" w:rsidDel="00000000" w:rsidP="00000000" w:rsidRDefault="00000000" w:rsidRPr="00000000" w14:paraId="00000055">
      <w:pPr>
        <w:numPr>
          <w:ilvl w:val="0"/>
          <w:numId w:val="2"/>
        </w:numPr>
        <w:shd w:fill="ffffff" w:val="clear"/>
        <w:spacing w:after="0" w:afterAutospacing="0" w:before="0" w:beforeAutospacing="0" w:lineRule="auto"/>
        <w:ind w:left="720" w:hanging="360"/>
      </w:pPr>
      <w:r w:rsidDel="00000000" w:rsidR="00000000" w:rsidRPr="00000000">
        <w:rPr>
          <w:rFonts w:ascii="Roboto" w:cs="Roboto" w:eastAsia="Roboto" w:hAnsi="Roboto"/>
          <w:color w:val="0f1115"/>
          <w:sz w:val="24"/>
          <w:szCs w:val="24"/>
          <w:rtl w:val="0"/>
        </w:rPr>
        <w:t xml:space="preserve">Implement the internal SOPs – train your staff and audit compliance.</w:t>
      </w:r>
    </w:p>
    <w:p w:rsidR="00000000" w:rsidDel="00000000" w:rsidP="00000000" w:rsidRDefault="00000000" w:rsidRPr="00000000" w14:paraId="00000056">
      <w:pPr>
        <w:numPr>
          <w:ilvl w:val="0"/>
          <w:numId w:val="2"/>
        </w:numPr>
        <w:shd w:fill="ffffff" w:val="clear"/>
        <w:spacing w:after="240" w:before="0" w:beforeAutospacing="0" w:lineRule="auto"/>
        <w:ind w:left="720" w:hanging="360"/>
      </w:pPr>
      <w:r w:rsidDel="00000000" w:rsidR="00000000" w:rsidRPr="00000000">
        <w:rPr>
          <w:rFonts w:ascii="Roboto" w:cs="Roboto" w:eastAsia="Roboto" w:hAnsi="Roboto"/>
          <w:color w:val="0f1115"/>
          <w:sz w:val="24"/>
          <w:szCs w:val="24"/>
          <w:rtl w:val="0"/>
        </w:rPr>
        <w:t xml:space="preserve">Go live.</w:t>
      </w:r>
    </w:p>
    <w:p w:rsidR="00000000" w:rsidDel="00000000" w:rsidP="00000000" w:rsidRDefault="00000000" w:rsidRPr="00000000" w14:paraId="0000005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I am satisfied that this legal framework, together with your operational practices, provides Xenios Research with the strongest possible protection while remaining fully compliant with all applicable laws. The documents are enforceable, the business model is lawful, and the risks have been responsibly allocated.</w:t>
      </w:r>
    </w:p>
    <w:p w:rsidR="00000000" w:rsidDel="00000000" w:rsidP="00000000" w:rsidRDefault="00000000" w:rsidRPr="00000000" w14:paraId="00000058">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This is my final, unconditional approval.</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hd w:fill="ffffff" w:val="clear"/>
        <w:spacing w:after="240" w:before="240" w:lineRule="auto"/>
        <w:rPr>
          <w:rFonts w:ascii="Roboto" w:cs="Roboto" w:eastAsia="Roboto" w:hAnsi="Roboto"/>
          <w:i w:val="1"/>
          <w:iCs w:val="1"/>
          <w:color w:val="0f1115"/>
          <w:sz w:val="24"/>
          <w:szCs w:val="24"/>
        </w:rPr>
      </w:pPr>
      <w:r w:rsidDel="00000000" w:rsidR="00000000" w:rsidRPr="00000000">
        <w:rPr>
          <w:rFonts w:ascii="Roboto" w:cs="Roboto" w:eastAsia="Roboto" w:hAnsi="Roboto"/>
          <w:i w:val="1"/>
          <w:iCs w:val="1"/>
          <w:color w:val="0f1115"/>
          <w:sz w:val="24"/>
          <w:szCs w:val="24"/>
          <w:rtl w:val="0"/>
        </w:rPr>
        <w:t xml:space="preserve">If you have any questions as you roll this out, I remain available for consultation. Congratulations – you now have a best‑in‑class legal package.</w:t>
      </w:r>
    </w:p>
    <w:p w:rsidR="00000000" w:rsidDel="00000000" w:rsidP="00000000" w:rsidRDefault="00000000" w:rsidRPr="00000000" w14:paraId="0000005B">
      <w:pPr>
        <w:shd w:fill="ffffff" w:val="clear"/>
        <w:spacing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Signed,</w:t>
        <w:br w:type="textWrapping"/>
        <w:t xml:space="preserve">General Counsel</w:t>
        <w:br w:type="textWrapping"/>
        <w:t xml:space="preserve">Xenios Research</w:t>
      </w:r>
    </w:p>
    <w:p w:rsidR="00000000" w:rsidDel="00000000" w:rsidP="00000000" w:rsidRDefault="00000000" w:rsidRPr="00000000" w14:paraId="0000005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f1115"/>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0f111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b w:val="0"/>
        <w:bCs w:val="0"/>
        <w:i w:val="0"/>
        <w:iCs w:val="0"/>
        <w:smallCaps w:val="0"/>
        <w:color w:val="0f111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