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0D14" w:rsidRPr="00E164A5" w:rsidRDefault="00271811">
      <w:pPr>
        <w:pStyle w:val="Heading"/>
      </w:pPr>
      <w:bookmarkStart w:id="0" w:name="_GoBack"/>
      <w:bookmarkEnd w:id="0"/>
      <w:r w:rsidRPr="00E164A5">
        <w:t>Применение методов машинного обучения к задаче предсказания землетрясений</w:t>
      </w:r>
    </w:p>
    <w:p w:rsidR="00010D14" w:rsidRPr="00E164A5" w:rsidRDefault="00221704" w:rsidP="00221704">
      <w:pPr>
        <w:pStyle w:val="a0"/>
        <w:jc w:val="center"/>
        <w:rPr>
          <w:szCs w:val="20"/>
        </w:rPr>
      </w:pPr>
      <w:r w:rsidRPr="00E164A5">
        <w:rPr>
          <w:szCs w:val="20"/>
        </w:rPr>
        <w:t xml:space="preserve">Галкина А.А., студентка кафедры информационно-аналитических систем СПбГУ, </w:t>
      </w:r>
      <w:r w:rsidRPr="00E164A5">
        <w:rPr>
          <w:szCs w:val="20"/>
          <w:lang w:val="en-US"/>
        </w:rPr>
        <w:t>id</w:t>
      </w:r>
      <w:r w:rsidRPr="00E164A5">
        <w:rPr>
          <w:szCs w:val="20"/>
        </w:rPr>
        <w:t>.</w:t>
      </w:r>
      <w:r w:rsidRPr="00E164A5">
        <w:rPr>
          <w:szCs w:val="20"/>
          <w:lang w:val="en-US"/>
        </w:rPr>
        <w:t>a</w:t>
      </w:r>
      <w:r w:rsidRPr="00E164A5">
        <w:rPr>
          <w:szCs w:val="20"/>
        </w:rPr>
        <w:t>.</w:t>
      </w:r>
      <w:r w:rsidRPr="00E164A5">
        <w:rPr>
          <w:szCs w:val="20"/>
          <w:lang w:val="en-US"/>
        </w:rPr>
        <w:t>brickman</w:t>
      </w:r>
      <w:r w:rsidRPr="00E164A5">
        <w:rPr>
          <w:szCs w:val="20"/>
        </w:rPr>
        <w:t>@</w:t>
      </w:r>
      <w:r w:rsidRPr="00E164A5">
        <w:rPr>
          <w:szCs w:val="20"/>
          <w:lang w:val="en-US"/>
        </w:rPr>
        <w:t>gmail</w:t>
      </w:r>
      <w:r w:rsidRPr="00E164A5">
        <w:rPr>
          <w:szCs w:val="20"/>
        </w:rPr>
        <w:t>.</w:t>
      </w:r>
      <w:r w:rsidRPr="00E164A5">
        <w:rPr>
          <w:szCs w:val="20"/>
          <w:lang w:val="en-US"/>
        </w:rPr>
        <w:t>com</w:t>
      </w:r>
    </w:p>
    <w:p w:rsidR="00010D14" w:rsidRPr="00E164A5" w:rsidRDefault="00010D14">
      <w:pPr>
        <w:pStyle w:val="a0"/>
        <w:ind w:firstLine="0"/>
        <w:jc w:val="center"/>
      </w:pPr>
      <w:r w:rsidRPr="00E164A5">
        <w:rPr>
          <w:b/>
          <w:bCs/>
          <w:sz w:val="24"/>
        </w:rPr>
        <w:t>Аннотация</w:t>
      </w:r>
    </w:p>
    <w:p w:rsidR="00047DBA" w:rsidRPr="00E164A5" w:rsidRDefault="00047DBA" w:rsidP="00047DBA">
      <w:pPr>
        <w:pStyle w:val="Abstract"/>
        <w:ind w:firstLine="0"/>
      </w:pPr>
      <w:r w:rsidRPr="00E164A5">
        <w:t xml:space="preserve">Несмотря на чрезвычайную актуальность задачи предсказания землетрясений, на данный момент всё ещё не существует её решения. Это обуславливает необходимость применения современных методов машинного обучения к этой задаче. </w:t>
      </w:r>
    </w:p>
    <w:p w:rsidR="00AB0591" w:rsidRPr="00E164A5" w:rsidRDefault="00047DBA" w:rsidP="00047DBA">
      <w:pPr>
        <w:pStyle w:val="Abstract"/>
        <w:ind w:firstLine="273"/>
      </w:pPr>
      <w:r w:rsidRPr="00E164A5">
        <w:t>В работе описывается создание "эталонного" набора данных, который может быть использован для сравнения различных подходов, предложенных в литературе, а также оценка применимости некоторых методов к данной задаче с использованием этого набора и метрик качества предсказаний.</w:t>
      </w:r>
    </w:p>
    <w:p w:rsidR="00047DBA" w:rsidRPr="00E164A5" w:rsidRDefault="00047DBA" w:rsidP="00047DBA">
      <w:pPr>
        <w:pStyle w:val="Abstract"/>
      </w:pPr>
    </w:p>
    <w:p w:rsidR="00010D14" w:rsidRPr="00E164A5" w:rsidRDefault="00010D14">
      <w:pPr>
        <w:pStyle w:val="1"/>
        <w:rPr>
          <w:sz w:val="20"/>
          <w:szCs w:val="20"/>
        </w:rPr>
      </w:pPr>
      <w:r w:rsidRPr="00E164A5">
        <w:t>Введение</w:t>
      </w:r>
    </w:p>
    <w:p w:rsidR="00427A79" w:rsidRPr="00E164A5" w:rsidRDefault="00F849F9" w:rsidP="00F849F9">
      <w:pPr>
        <w:pStyle w:val="a0"/>
        <w:spacing w:line="100" w:lineRule="atLeast"/>
        <w:rPr>
          <w:szCs w:val="20"/>
        </w:rPr>
      </w:pPr>
      <w:r w:rsidRPr="00E164A5">
        <w:rPr>
          <w:szCs w:val="20"/>
        </w:rPr>
        <w:t>Задача предсказания землетрясений критически важна для безопасности человечества. Землетрясения – один из самых страшных и разрушительных природных катастроф, прежде всего, из-за того, что они чаще всего происходят без явного «предупреждения», не оставляя времени на реагирование и принятие мер</w:t>
      </w:r>
      <w:r w:rsidR="00427A79" w:rsidRPr="00E164A5">
        <w:rPr>
          <w:szCs w:val="20"/>
        </w:rPr>
        <w:t xml:space="preserve"> по смягчению последствий. Помимо этого, землетрясения часто влекут другие бедствия, такие как цунами, лавины, оползни, а также приводят к разрушениям зданий и сооружений и даже могут стать причиной техногенных катастроф (к примеру, авария на АЭС «Фукусима-1» в марте 2011 года произошла вследствие землетрясения, произошедшего в Тихом океане вблизи острова Хонсю и впоследствии признанного сильнейшим в известной истории Японии [1]).</w:t>
      </w:r>
    </w:p>
    <w:p w:rsidR="008D470A" w:rsidRPr="00E164A5" w:rsidRDefault="008D470A" w:rsidP="008D470A">
      <w:pPr>
        <w:pStyle w:val="a0"/>
        <w:spacing w:line="100" w:lineRule="atLeast"/>
        <w:rPr>
          <w:szCs w:val="20"/>
        </w:rPr>
      </w:pPr>
      <w:r w:rsidRPr="00E164A5">
        <w:rPr>
          <w:szCs w:val="20"/>
        </w:rPr>
        <w:t>Н</w:t>
      </w:r>
      <w:r w:rsidR="00427A79" w:rsidRPr="00E164A5">
        <w:rPr>
          <w:szCs w:val="20"/>
        </w:rPr>
        <w:t xml:space="preserve">есмотря на общепризнанную актуальность задачи и постоянные попытки её исследования, берущие своё начало с конца </w:t>
      </w:r>
      <w:r w:rsidR="00427A79" w:rsidRPr="00E164A5">
        <w:rPr>
          <w:szCs w:val="20"/>
          <w:lang w:val="en-GB"/>
        </w:rPr>
        <w:t>XIX</w:t>
      </w:r>
      <w:r w:rsidR="00427A79" w:rsidRPr="00E164A5">
        <w:rPr>
          <w:szCs w:val="20"/>
        </w:rPr>
        <w:t xml:space="preserve"> века, на данный момент</w:t>
      </w:r>
      <w:r w:rsidR="002502A4" w:rsidRPr="00E164A5">
        <w:rPr>
          <w:szCs w:val="20"/>
        </w:rPr>
        <w:t xml:space="preserve"> всё ещё</w:t>
      </w:r>
      <w:r w:rsidR="00427A79" w:rsidRPr="00E164A5">
        <w:rPr>
          <w:szCs w:val="20"/>
        </w:rPr>
        <w:t xml:space="preserve"> не существует </w:t>
      </w:r>
      <w:r w:rsidR="002502A4" w:rsidRPr="00E164A5">
        <w:rPr>
          <w:szCs w:val="20"/>
        </w:rPr>
        <w:t xml:space="preserve">единой методологии, позволяющей строить точные краткосрочные прогнозы сейсмической активности. Это привело к тому, что на данный момент сейсмологи и представители смежных дисциплин скептически относятся к самой возможности построения таких прогнозов [2]. Однако стремительное развитие методов </w:t>
      </w:r>
      <w:r w:rsidR="002502A4" w:rsidRPr="00E164A5">
        <w:rPr>
          <w:szCs w:val="20"/>
        </w:rPr>
        <w:lastRenderedPageBreak/>
        <w:t xml:space="preserve">машинного обучения и успешное применение их к различным классам задач вселяет надежду на то, что эти технологии помогут извлечь скрытые закономерности, на основе которых впоследствии можно будет строить точные предсказания. </w:t>
      </w:r>
    </w:p>
    <w:p w:rsidR="008D470A" w:rsidRPr="00E164A5" w:rsidRDefault="002502A4" w:rsidP="008D470A">
      <w:pPr>
        <w:pStyle w:val="a0"/>
        <w:spacing w:line="100" w:lineRule="atLeast"/>
        <w:rPr>
          <w:szCs w:val="20"/>
        </w:rPr>
      </w:pPr>
      <w:r w:rsidRPr="00E164A5">
        <w:rPr>
          <w:szCs w:val="20"/>
        </w:rPr>
        <w:t>Из этих соображений происходит главная цель работы, состоящая в изучении применимости методов машинного обучения к задачам, связанным с предсказанием землетрясений.</w:t>
      </w:r>
    </w:p>
    <w:p w:rsidR="008D470A" w:rsidRPr="00E164A5" w:rsidRDefault="008D470A" w:rsidP="008D470A">
      <w:pPr>
        <w:pStyle w:val="1"/>
      </w:pPr>
      <w:r w:rsidRPr="00E164A5">
        <w:t>О</w:t>
      </w:r>
      <w:r w:rsidR="00FF6DAF" w:rsidRPr="00E164A5">
        <w:t>писание задачи</w:t>
      </w:r>
    </w:p>
    <w:p w:rsidR="00FF6DAF" w:rsidRPr="00E164A5" w:rsidRDefault="00FF6DAF" w:rsidP="00FF6DAF">
      <w:pPr>
        <w:pStyle w:val="a0"/>
      </w:pPr>
      <w:r w:rsidRPr="00E164A5">
        <w:t xml:space="preserve">Прежде всего, было необходимо понять, что именно имеется в виду под задачей предсказания землетрясений с точки зрения как сейсмологов, так и представителей смежных дисциплин. </w:t>
      </w:r>
    </w:p>
    <w:p w:rsidR="00047DBA" w:rsidRPr="00E164A5" w:rsidRDefault="00FF6DAF" w:rsidP="00047DBA">
      <w:pPr>
        <w:pStyle w:val="a0"/>
      </w:pPr>
      <w:r w:rsidRPr="00E164A5">
        <w:t>Так, согласно [3], от предсказания землетрясения в его простейшей интерпретации требуется наличие информации</w:t>
      </w:r>
      <w:r w:rsidR="00047DBA" w:rsidRPr="00E164A5">
        <w:t xml:space="preserve"> о его точном </w:t>
      </w:r>
      <w:r w:rsidR="00047DBA" w:rsidRPr="00E164A5">
        <w:rPr>
          <w:i/>
        </w:rPr>
        <w:t>местоположении</w:t>
      </w:r>
      <w:r w:rsidR="00047DBA" w:rsidRPr="00E164A5">
        <w:t xml:space="preserve">, </w:t>
      </w:r>
      <w:r w:rsidR="00047DBA" w:rsidRPr="00E164A5">
        <w:rPr>
          <w:i/>
        </w:rPr>
        <w:t>промежутке времени</w:t>
      </w:r>
      <w:r w:rsidR="00047DBA" w:rsidRPr="00E164A5">
        <w:t xml:space="preserve">, в который оно случится, а также </w:t>
      </w:r>
      <w:r w:rsidR="00047DBA" w:rsidRPr="00E164A5">
        <w:rPr>
          <w:i/>
        </w:rPr>
        <w:t>диапазоне его магнитуды</w:t>
      </w:r>
      <w:r w:rsidR="00047DBA" w:rsidRPr="00E164A5">
        <w:t xml:space="preserve">. </w:t>
      </w:r>
      <w:r w:rsidR="009B4D04" w:rsidRPr="00E164A5">
        <w:t>Однако, несмотря на важность проблемы предсказания землетрясений и наличие ясных критериев, которым обязано соответствовать её решение, на данный момент задача построения модели, способной одновременно предсказывать и время, и место</w:t>
      </w:r>
      <w:r w:rsidR="00EF211B" w:rsidRPr="00E164A5">
        <w:t>,</w:t>
      </w:r>
      <w:r w:rsidR="009B4D04" w:rsidRPr="00E164A5">
        <w:t xml:space="preserve"> и магнитуду землетрясения, всё ещё является слишком сложной.</w:t>
      </w:r>
      <w:r w:rsidR="004D0B1A" w:rsidRPr="004D0B1A">
        <w:t xml:space="preserve"> </w:t>
      </w:r>
      <w:r w:rsidR="00752F34" w:rsidRPr="00E164A5">
        <w:t>По</w:t>
      </w:r>
      <w:r w:rsidR="005F225D" w:rsidRPr="00E164A5">
        <w:t>этому</w:t>
      </w:r>
      <w:r w:rsidR="00752F34" w:rsidRPr="00E164A5">
        <w:t xml:space="preserve"> в данный момент</w:t>
      </w:r>
      <w:r w:rsidR="004D0B1A" w:rsidRPr="004D0B1A">
        <w:t xml:space="preserve"> </w:t>
      </w:r>
      <w:r w:rsidR="00281ABF" w:rsidRPr="00E164A5">
        <w:t>исследователи в области машинного обучения</w:t>
      </w:r>
      <w:r w:rsidR="00456ADF" w:rsidRPr="00E164A5">
        <w:t xml:space="preserve"> чаще всего</w:t>
      </w:r>
      <w:r w:rsidR="00281ABF" w:rsidRPr="00E164A5">
        <w:t xml:space="preserve"> рассматривают</w:t>
      </w:r>
      <w:r w:rsidR="00456ADF" w:rsidRPr="00E164A5">
        <w:t xml:space="preserve"> более общую задачу предсказания максимальной магнитуды для некоторого региона и промежутка времени.</w:t>
      </w:r>
      <w:r w:rsidR="00752F34" w:rsidRPr="00E164A5">
        <w:t xml:space="preserve"> Под </w:t>
      </w:r>
      <w:r w:rsidR="00752F34" w:rsidRPr="00E164A5">
        <w:rPr>
          <w:i/>
        </w:rPr>
        <w:t>регионом</w:t>
      </w:r>
      <w:r w:rsidR="00752F34" w:rsidRPr="00E164A5">
        <w:t xml:space="preserve"> при этом подразумевается фиксированный диапазон географических координат (целиком или в виде сеточной матрицы размером, к примеру, 1</w:t>
      </w:r>
      <w:r w:rsidR="00752F34" w:rsidRPr="00E164A5">
        <w:rPr>
          <w:rFonts w:cs="Times New Roman"/>
        </w:rPr>
        <w:t>°×</w:t>
      </w:r>
      <w:r w:rsidR="00752F34" w:rsidRPr="00E164A5">
        <w:t>1</w:t>
      </w:r>
      <w:r w:rsidR="00752F34" w:rsidRPr="00E164A5">
        <w:rPr>
          <w:rFonts w:cs="Times New Roman"/>
        </w:rPr>
        <w:t>°</w:t>
      </w:r>
      <w:r w:rsidR="00752F34" w:rsidRPr="00E164A5">
        <w:t xml:space="preserve">). В качестве </w:t>
      </w:r>
      <w:r w:rsidR="00752F34" w:rsidRPr="00E164A5">
        <w:rPr>
          <w:i/>
        </w:rPr>
        <w:t>временного интервала</w:t>
      </w:r>
      <w:r w:rsidR="00752F34" w:rsidRPr="00E164A5">
        <w:t xml:space="preserve"> чаще всего рассматриваются сравнительно небольшие промежутки времени длиной вплоть до одного месяца. </w:t>
      </w:r>
    </w:p>
    <w:p w:rsidR="00752F34" w:rsidRPr="00E164A5" w:rsidRDefault="00752F34" w:rsidP="00047DBA">
      <w:pPr>
        <w:pStyle w:val="a0"/>
      </w:pPr>
      <w:r w:rsidRPr="00E164A5">
        <w:t>Что касается классов задач машинного обучения, чаще всего задача предсказания землетрясений сводится к задаче классификации. Это может быть как бинарная классификация (событие произойдёт или не произойдёт) [</w:t>
      </w:r>
      <w:r w:rsidR="00E66FD9" w:rsidRPr="00E164A5">
        <w:t>4</w:t>
      </w:r>
      <w:r w:rsidR="00AC4C18" w:rsidRPr="00E164A5">
        <w:t>-</w:t>
      </w:r>
      <w:r w:rsidR="00AE0D62" w:rsidRPr="00E164A5">
        <w:t>5</w:t>
      </w:r>
      <w:r w:rsidRPr="00E164A5">
        <w:t>], так и многоклассовая (события разделяются по диапазонам предсказываемых для них магнитуд) [</w:t>
      </w:r>
      <w:r w:rsidR="00AE0D62" w:rsidRPr="00E164A5">
        <w:t>6-7</w:t>
      </w:r>
      <w:r w:rsidRPr="00E164A5">
        <w:t>].</w:t>
      </w:r>
      <w:r w:rsidR="00CF3AD0" w:rsidRPr="00E164A5">
        <w:t xml:space="preserve"> Также встречаются исследования, в которых задача предсказания рассматривается как задача регрессии [</w:t>
      </w:r>
      <w:r w:rsidR="00AE0D62" w:rsidRPr="00E164A5">
        <w:t>8</w:t>
      </w:r>
      <w:r w:rsidR="00CF3AD0" w:rsidRPr="00E164A5">
        <w:t>].</w:t>
      </w:r>
    </w:p>
    <w:p w:rsidR="00CF3AD0" w:rsidRPr="00E164A5" w:rsidRDefault="00CF3AD0" w:rsidP="00CF3AD0">
      <w:pPr>
        <w:pStyle w:val="1"/>
      </w:pPr>
      <w:r w:rsidRPr="00E164A5">
        <w:t>Тенденции и проблемы предметной области</w:t>
      </w:r>
    </w:p>
    <w:p w:rsidR="00022BD8" w:rsidRPr="00E164A5" w:rsidRDefault="00022BD8" w:rsidP="00022BD8">
      <w:pPr>
        <w:pStyle w:val="a0"/>
      </w:pPr>
      <w:r w:rsidRPr="00E164A5">
        <w:t xml:space="preserve">Несмотря на столь большое разнообразие рассматриваемых регионов, а также относительную новизну данной сферы исследований, в ходе обзорной части удалось выявить некоторые общие тенденции методологии, </w:t>
      </w:r>
      <w:r w:rsidRPr="00E164A5">
        <w:lastRenderedPageBreak/>
        <w:t>сложившейся в ходе изучения предметной области.</w:t>
      </w:r>
      <w:r w:rsidR="00E66FD9" w:rsidRPr="00E164A5">
        <w:t xml:space="preserve"> Они подробно описаны в опубликованной ранее работе [</w:t>
      </w:r>
      <w:r w:rsidR="00AE0D62" w:rsidRPr="00E164A5">
        <w:t>9</w:t>
      </w:r>
      <w:r w:rsidR="00E66FD9" w:rsidRPr="00E164A5">
        <w:t>].</w:t>
      </w:r>
      <w:r w:rsidRPr="00E164A5">
        <w:t xml:space="preserve"> Ниже изложены те из них, которые повлияли на вектор дальнейших исследований.</w:t>
      </w:r>
    </w:p>
    <w:p w:rsidR="000777EC" w:rsidRPr="00E164A5" w:rsidRDefault="000777EC" w:rsidP="000777EC">
      <w:pPr>
        <w:pStyle w:val="a0"/>
      </w:pPr>
      <w:r w:rsidRPr="00E164A5">
        <w:t>Выяснилось, что в ряде работ, где предлагалась некоторая модель и производилась её апробация на нескольких регионах, выявлялось, что один и тот же метод мог подходить для одной сейсмической зоны и не выявить никаких закономерностей в другом случае [</w:t>
      </w:r>
      <w:r w:rsidR="00D2491A" w:rsidRPr="00E164A5">
        <w:t>4</w:t>
      </w:r>
      <w:r w:rsidRPr="00E164A5">
        <w:t xml:space="preserve">]. Это приводит к существенной проблеме: большое количество исследований использует для создания и апробации моделей данные лишь из одной сейсмической зоны. Помимо этого, для оценки качества предсказаний используются разные (хоть и классические для рассматриваемых задач машинного обучения) метрики. </w:t>
      </w:r>
      <w:r w:rsidR="00022BD8" w:rsidRPr="00E164A5">
        <w:t>Всё это привод</w:t>
      </w:r>
      <w:r w:rsidRPr="00E164A5">
        <w:t>ит к тому, что на данный момент всё ещё невозможно объективно позиционировать опубликованные в литературе п</w:t>
      </w:r>
      <w:r w:rsidR="00C76AE6" w:rsidRPr="00E164A5">
        <w:t>одходы друг относительно друга.</w:t>
      </w:r>
    </w:p>
    <w:p w:rsidR="00CF3AD0" w:rsidRPr="00E164A5" w:rsidRDefault="00022BD8" w:rsidP="000777EC">
      <w:pPr>
        <w:pStyle w:val="a0"/>
      </w:pPr>
      <w:r w:rsidRPr="00E164A5">
        <w:t>Возможным решением этой проблемы кажется предоставление исследователям «эталонного» набора данных, на котором можно более полно сравнивать различные алгоритмы машинного обучения – как уже предложенные, так и те, которые будут разработаны в будущем. И разработка такого инструмента стала первой задачей практической части данной работы.</w:t>
      </w:r>
    </w:p>
    <w:p w:rsidR="008D470A" w:rsidRPr="00E164A5" w:rsidRDefault="008D470A" w:rsidP="008D470A">
      <w:pPr>
        <w:pStyle w:val="1"/>
      </w:pPr>
      <w:r w:rsidRPr="00E164A5">
        <w:t>«Эталонный» набор данных</w:t>
      </w:r>
    </w:p>
    <w:p w:rsidR="00C76AE6" w:rsidRPr="00E164A5" w:rsidRDefault="000777EC" w:rsidP="00C76AE6">
      <w:pPr>
        <w:pStyle w:val="a0"/>
        <w:rPr>
          <w:sz w:val="18"/>
          <w:szCs w:val="18"/>
        </w:rPr>
      </w:pPr>
      <w:r w:rsidRPr="00E164A5">
        <w:t xml:space="preserve">Итак, в ходе работы был создан так называемый «эталонный» набор данных, содержащий данные о землетрясениях из различных сейсмических зон (их описание приведено в </w:t>
      </w:r>
      <w:r w:rsidR="00D2491A" w:rsidRPr="00E164A5">
        <w:t>Табл.</w:t>
      </w:r>
      <w:r w:rsidR="00AC4C18" w:rsidRPr="00E164A5">
        <w:t>1</w:t>
      </w:r>
      <w:r w:rsidRPr="00E164A5">
        <w:t>).</w:t>
      </w:r>
      <w:r w:rsidR="005F225D" w:rsidRPr="00E164A5">
        <w:t xml:space="preserve"> Выбор регионов обусловлен тем, что некоторые из них (Южная Калифорния, Чили, Хиндукуш) уже неоднократно рассматривались в опубликованных работах. Другие же выбраны из соображений репрезентации различныхчастей</w:t>
      </w:r>
      <w:r w:rsidR="00C76AE6" w:rsidRPr="00E164A5">
        <w:t xml:space="preserve"> света в результирующем наборе. </w:t>
      </w:r>
      <w:r w:rsidR="00E66FD9" w:rsidRPr="00E164A5">
        <w:t>В силу того, что различные источники данных в разной степени полны для разных регионов</w:t>
      </w:r>
      <w:r w:rsidR="005F225D" w:rsidRPr="00E164A5">
        <w:t>, было принято решение использовать не одну базу данных о земле</w:t>
      </w:r>
      <w:r w:rsidR="00E66FD9" w:rsidRPr="00E164A5">
        <w:t>трясениях, а несколько разных. Также б</w:t>
      </w:r>
      <w:r w:rsidR="00C76AE6" w:rsidRPr="00E164A5">
        <w:t xml:space="preserve">ыла произведена </w:t>
      </w:r>
      <w:r w:rsidR="005F225D" w:rsidRPr="00E164A5">
        <w:t xml:space="preserve">первичная обработка данных, а именно, обеспечение их полноты путём выявления </w:t>
      </w:r>
      <w:r w:rsidR="00E66FD9" w:rsidRPr="00E164A5">
        <w:t>отсекающей (</w:t>
      </w:r>
      <w:r w:rsidR="00E66FD9" w:rsidRPr="00E164A5">
        <w:rPr>
          <w:i/>
          <w:lang w:val="en-US"/>
        </w:rPr>
        <w:t>cut</w:t>
      </w:r>
      <w:r w:rsidR="00E66FD9" w:rsidRPr="00E164A5">
        <w:rPr>
          <w:i/>
        </w:rPr>
        <w:t>-</w:t>
      </w:r>
      <w:r w:rsidR="00E66FD9" w:rsidRPr="00E164A5">
        <w:rPr>
          <w:i/>
          <w:lang w:val="en-US"/>
        </w:rPr>
        <w:t>off</w:t>
      </w:r>
      <w:r w:rsidR="00E66FD9" w:rsidRPr="00E164A5">
        <w:t>)</w:t>
      </w:r>
      <w:r w:rsidR="005F225D" w:rsidRPr="00E164A5">
        <w:t xml:space="preserve"> магнитуды – границы, начиная с которой набор можно считать полным</w:t>
      </w:r>
      <w:r w:rsidR="00E66FD9" w:rsidRPr="00E164A5">
        <w:t xml:space="preserve"> [</w:t>
      </w:r>
      <w:r w:rsidR="00AE0D62" w:rsidRPr="00E164A5">
        <w:t>9</w:t>
      </w:r>
      <w:r w:rsidR="00E66FD9" w:rsidRPr="00E164A5">
        <w:t>]</w:t>
      </w:r>
      <w:r w:rsidR="005F225D" w:rsidRPr="00E164A5">
        <w:t>.</w:t>
      </w:r>
    </w:p>
    <w:p w:rsidR="00C76AE6" w:rsidRPr="00E164A5" w:rsidRDefault="00AC4C18" w:rsidP="00C76AE6">
      <w:pPr>
        <w:pStyle w:val="a0"/>
      </w:pPr>
      <w:r w:rsidRPr="00E164A5">
        <w:t>Помимо «сырых» исторических данных, в набор было решено включить подсчитанные значения</w:t>
      </w:r>
      <w:r w:rsidR="00C76AE6" w:rsidRPr="00E164A5">
        <w:t xml:space="preserve"> описанных в литературе</w:t>
      </w:r>
      <w:r w:rsidRPr="00E164A5">
        <w:rPr>
          <w:i/>
        </w:rPr>
        <w:t>сейсмических индикаторов</w:t>
      </w:r>
      <w:r w:rsidR="00C76AE6" w:rsidRPr="00E164A5">
        <w:t>–параметров, основанных на сейсмологических соотношениях и гипотезах, обобщающих динамику сейсмичности в регионах [</w:t>
      </w:r>
      <w:r w:rsidR="006D6238" w:rsidRPr="00E164A5">
        <w:t>4</w:t>
      </w:r>
      <w:r w:rsidR="00C76AE6" w:rsidRPr="00E164A5">
        <w:t>][</w:t>
      </w:r>
      <w:r w:rsidR="00AE0D62" w:rsidRPr="00E164A5">
        <w:t>6</w:t>
      </w:r>
      <w:r w:rsidR="00C76AE6" w:rsidRPr="00E164A5">
        <w:t xml:space="preserve">].  Это позволит исследователям предметной области обучать и апробировать модели без необходимости разбираться в сложных </w:t>
      </w:r>
      <w:r w:rsidR="00C76AE6" w:rsidRPr="00E164A5">
        <w:lastRenderedPageBreak/>
        <w:t>сейсмологических законах.</w:t>
      </w:r>
    </w:p>
    <w:p w:rsidR="00BC2F68" w:rsidRPr="00E164A5" w:rsidRDefault="00BC2F68" w:rsidP="00BC2F68">
      <w:pPr>
        <w:pStyle w:val="a0"/>
      </w:pPr>
      <w:r w:rsidRPr="00E164A5">
        <w:t xml:space="preserve">Результирующий набор данных, а также ряд полезных функций для предобработки данных и извлечения сейсмических индикаторов доступен по ссылке: </w:t>
      </w:r>
      <w:hyperlink r:id="rId8" w:history="1">
        <w:r w:rsidRPr="00E164A5">
          <w:rPr>
            <w:rStyle w:val="a4"/>
          </w:rPr>
          <w:t>https://github.com/abrickman/benchmark-earthquake-dataset</w:t>
        </w:r>
      </w:hyperlink>
      <w:r w:rsidRPr="00E164A5">
        <w:t>.</w:t>
      </w:r>
    </w:p>
    <w:tbl>
      <w:tblPr>
        <w:tblStyle w:val="af2"/>
        <w:tblW w:w="6899" w:type="dxa"/>
        <w:tblInd w:w="-147" w:type="dxa"/>
        <w:tblLayout w:type="fixed"/>
        <w:tblLook w:val="04A0"/>
      </w:tblPr>
      <w:tblGrid>
        <w:gridCol w:w="2269"/>
        <w:gridCol w:w="1511"/>
        <w:gridCol w:w="1607"/>
        <w:gridCol w:w="1512"/>
      </w:tblGrid>
      <w:tr w:rsidR="00BC2F68" w:rsidRPr="00E164A5" w:rsidTr="00425E59">
        <w:trPr>
          <w:trHeight w:val="416"/>
        </w:trPr>
        <w:tc>
          <w:tcPr>
            <w:tcW w:w="2269" w:type="dxa"/>
            <w:vAlign w:val="center"/>
            <w:hideMark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</w:rPr>
              <w:t>Сейсмические зоны</w:t>
            </w:r>
          </w:p>
        </w:tc>
        <w:tc>
          <w:tcPr>
            <w:tcW w:w="1511" w:type="dxa"/>
            <w:vAlign w:val="center"/>
            <w:hideMark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</w:rPr>
              <w:t>Диапазоны широт</w:t>
            </w:r>
          </w:p>
        </w:tc>
        <w:tc>
          <w:tcPr>
            <w:tcW w:w="1607" w:type="dxa"/>
            <w:vAlign w:val="center"/>
            <w:hideMark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</w:rPr>
              <w:t>Диапазоны долгот</w:t>
            </w:r>
          </w:p>
        </w:tc>
        <w:tc>
          <w:tcPr>
            <w:tcW w:w="1512" w:type="dxa"/>
            <w:vAlign w:val="center"/>
            <w:hideMark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</w:rPr>
              <w:t>Отсекающая магнитуда</w:t>
            </w:r>
          </w:p>
        </w:tc>
      </w:tr>
      <w:tr w:rsidR="00BC2F68" w:rsidRPr="00E164A5" w:rsidTr="006D6238">
        <w:tc>
          <w:tcPr>
            <w:tcW w:w="2269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Центральная Япония</w:t>
            </w:r>
          </w:p>
        </w:tc>
        <w:tc>
          <w:tcPr>
            <w:tcW w:w="1511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34°-39° с.ш.</w:t>
            </w:r>
          </w:p>
        </w:tc>
        <w:tc>
          <w:tcPr>
            <w:tcW w:w="1607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136.5°-142°в.д.</w:t>
            </w:r>
          </w:p>
        </w:tc>
        <w:tc>
          <w:tcPr>
            <w:tcW w:w="1512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4.5</w:t>
            </w:r>
          </w:p>
        </w:tc>
      </w:tr>
      <w:tr w:rsidR="00BC2F68" w:rsidRPr="00E164A5" w:rsidTr="006D6238">
        <w:tc>
          <w:tcPr>
            <w:tcW w:w="2269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Центральное Чили</w:t>
            </w:r>
          </w:p>
        </w:tc>
        <w:tc>
          <w:tcPr>
            <w:tcW w:w="1511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32.5°-36° ю.ш.</w:t>
            </w:r>
          </w:p>
        </w:tc>
        <w:tc>
          <w:tcPr>
            <w:tcW w:w="1607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70°-72.5° з.д.</w:t>
            </w:r>
          </w:p>
        </w:tc>
        <w:tc>
          <w:tcPr>
            <w:tcW w:w="1512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4.0</w:t>
            </w:r>
          </w:p>
        </w:tc>
      </w:tr>
      <w:tr w:rsidR="00BC2F68" w:rsidRPr="00E164A5" w:rsidTr="006D6238">
        <w:tc>
          <w:tcPr>
            <w:tcW w:w="2269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Хиндукуш, Пакистан</w:t>
            </w:r>
          </w:p>
        </w:tc>
        <w:tc>
          <w:tcPr>
            <w:tcW w:w="1511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35°-39°</w:t>
            </w:r>
            <w:r w:rsidR="006D6238" w:rsidRPr="00E164A5">
              <w:rPr>
                <w:rFonts w:ascii="Times New Roman" w:hAnsi="Times New Roman"/>
                <w:sz w:val="18"/>
                <w:szCs w:val="18"/>
              </w:rPr>
              <w:t xml:space="preserve"> с.ш.</w:t>
            </w:r>
          </w:p>
        </w:tc>
        <w:tc>
          <w:tcPr>
            <w:tcW w:w="1607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69°-74.6° в.д.</w:t>
            </w:r>
          </w:p>
        </w:tc>
        <w:tc>
          <w:tcPr>
            <w:tcW w:w="1512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4.5</w:t>
            </w:r>
          </w:p>
        </w:tc>
      </w:tr>
      <w:tr w:rsidR="00BC2F68" w:rsidRPr="00E164A5" w:rsidTr="006D6238">
        <w:tc>
          <w:tcPr>
            <w:tcW w:w="2269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Сицилия, Италия</w:t>
            </w:r>
          </w:p>
        </w:tc>
        <w:tc>
          <w:tcPr>
            <w:tcW w:w="1511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36°-39° ю.ш.</w:t>
            </w:r>
          </w:p>
        </w:tc>
        <w:tc>
          <w:tcPr>
            <w:tcW w:w="1607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12°-16° в.д.</w:t>
            </w:r>
          </w:p>
        </w:tc>
        <w:tc>
          <w:tcPr>
            <w:tcW w:w="1512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2.5</w:t>
            </w:r>
          </w:p>
        </w:tc>
      </w:tr>
      <w:tr w:rsidR="006D6238" w:rsidRPr="00E164A5" w:rsidTr="00876C43">
        <w:trPr>
          <w:trHeight w:val="64"/>
        </w:trPr>
        <w:tc>
          <w:tcPr>
            <w:tcW w:w="2269" w:type="dxa"/>
          </w:tcPr>
          <w:p w:rsidR="00BC2F68" w:rsidRPr="00E164A5" w:rsidRDefault="00BC2F6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Южная Калифорния</w:t>
            </w:r>
          </w:p>
        </w:tc>
        <w:tc>
          <w:tcPr>
            <w:tcW w:w="1511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32°-36.5° с.ш.</w:t>
            </w:r>
          </w:p>
        </w:tc>
        <w:tc>
          <w:tcPr>
            <w:tcW w:w="1607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114.75°-121° з.д.</w:t>
            </w:r>
          </w:p>
        </w:tc>
        <w:tc>
          <w:tcPr>
            <w:tcW w:w="1512" w:type="dxa"/>
          </w:tcPr>
          <w:p w:rsidR="00BC2F68" w:rsidRPr="00E164A5" w:rsidRDefault="006D623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3.0</w:t>
            </w:r>
          </w:p>
        </w:tc>
      </w:tr>
    </w:tbl>
    <w:p w:rsidR="00C76AE6" w:rsidRPr="00E164A5" w:rsidRDefault="00C76AE6" w:rsidP="00BC2F68">
      <w:pPr>
        <w:pStyle w:val="a0"/>
        <w:ind w:firstLine="0"/>
        <w:jc w:val="center"/>
        <w:rPr>
          <w:sz w:val="18"/>
          <w:szCs w:val="18"/>
        </w:rPr>
      </w:pPr>
      <w:r w:rsidRPr="00E164A5">
        <w:rPr>
          <w:sz w:val="18"/>
          <w:szCs w:val="18"/>
        </w:rPr>
        <w:t>Таблица 1. Описание «эталонного» набора данных о землетрясениях</w:t>
      </w:r>
    </w:p>
    <w:p w:rsidR="008D470A" w:rsidRPr="00E164A5" w:rsidRDefault="008D470A" w:rsidP="008D470A">
      <w:pPr>
        <w:pStyle w:val="1"/>
      </w:pPr>
      <w:r w:rsidRPr="00E164A5">
        <w:t>Эксперименты</w:t>
      </w:r>
    </w:p>
    <w:p w:rsidR="000777EC" w:rsidRPr="00E164A5" w:rsidRDefault="000777EC" w:rsidP="006D6238">
      <w:pPr>
        <w:pStyle w:val="a0"/>
      </w:pPr>
      <w:r w:rsidRPr="00E164A5">
        <w:t xml:space="preserve">Важной задачей работы стала апробация методов машинного обучения на собранных данных с целью проверки их применимости к задаче предсказания на разных регионах. Задача формулировалась как задача предсказания максимальной магнитуды в регионе за 7 дней и рассматривалась с точки зрения бинарной классификации: 1 или 0 в зависимости от того, случилось ли в регионе землетрясение с магнитудой, </w:t>
      </w:r>
      <w:r w:rsidR="00C76AE6" w:rsidRPr="00E164A5">
        <w:t xml:space="preserve">превысившей пороговое значение. </w:t>
      </w:r>
      <w:r w:rsidRPr="00E164A5">
        <w:t>При этом пороговая магнитуда выбиралась для каждого региона в отдельност</w:t>
      </w:r>
      <w:r w:rsidR="00C76AE6" w:rsidRPr="00E164A5">
        <w:t xml:space="preserve">и как значение «выше среднего». </w:t>
      </w:r>
      <w:r w:rsidRPr="00E164A5">
        <w:t xml:space="preserve">Что касается методов, в работе были рассмотрены такие алгоритмы классификации, как </w:t>
      </w:r>
      <w:r w:rsidRPr="00E164A5">
        <w:rPr>
          <w:i/>
        </w:rPr>
        <w:t>логистическая регрессия</w:t>
      </w:r>
      <w:r w:rsidRPr="00E164A5">
        <w:t xml:space="preserve">, классификаторы на основе </w:t>
      </w:r>
      <w:r w:rsidRPr="00E164A5">
        <w:rPr>
          <w:i/>
        </w:rPr>
        <w:t>k ближайших соседей</w:t>
      </w:r>
      <w:r w:rsidRPr="00E164A5">
        <w:t xml:space="preserve">, </w:t>
      </w:r>
      <w:r w:rsidRPr="00E164A5">
        <w:rPr>
          <w:i/>
        </w:rPr>
        <w:t>метод опорных векторов</w:t>
      </w:r>
      <w:r w:rsidRPr="00E164A5">
        <w:t xml:space="preserve">, </w:t>
      </w:r>
      <w:r w:rsidRPr="00E164A5">
        <w:rPr>
          <w:i/>
        </w:rPr>
        <w:t>деревья решений</w:t>
      </w:r>
      <w:r w:rsidRPr="00E164A5">
        <w:t xml:space="preserve"> и </w:t>
      </w:r>
      <w:r w:rsidRPr="00E164A5">
        <w:rPr>
          <w:i/>
        </w:rPr>
        <w:t>случайные леса</w:t>
      </w:r>
      <w:r w:rsidRPr="00E164A5">
        <w:t xml:space="preserve">. </w:t>
      </w:r>
      <w:r w:rsidR="00425E59" w:rsidRPr="00E164A5">
        <w:t xml:space="preserve">Для них был осуществлён подбор оптимальных параметров методом поиска по сетке. </w:t>
      </w:r>
      <w:r w:rsidRPr="00E164A5">
        <w:t>Также в рамках экспериментов была осуществлена попытка поиска оптимальной нейросетевой архитектуры (среди имеющих топологию прямого распространения трёх- и четырёхслойных сетей с сигмоидальной функцией активации).</w:t>
      </w:r>
    </w:p>
    <w:p w:rsidR="00BD2124" w:rsidRPr="00E164A5" w:rsidRDefault="00BD2124" w:rsidP="00BD2124">
      <w:pPr>
        <w:pStyle w:val="2"/>
      </w:pPr>
      <w:r w:rsidRPr="00E164A5">
        <w:t>Метрики качества предсказаний</w:t>
      </w:r>
    </w:p>
    <w:p w:rsidR="0047632D" w:rsidRPr="00E164A5" w:rsidRDefault="00BD2124" w:rsidP="00AC4C18">
      <w:pPr>
        <w:pStyle w:val="a0"/>
      </w:pPr>
      <w:r w:rsidRPr="00E164A5">
        <w:t>Для оценки качества рассматриваемых моделей</w:t>
      </w:r>
      <w:r w:rsidR="00316378" w:rsidRPr="00E164A5">
        <w:t xml:space="preserve"> в работе</w:t>
      </w:r>
      <w:r w:rsidRPr="00E164A5">
        <w:t xml:space="preserve"> использовались метрики, основанные на элементах т.н. матрицы ошибок (</w:t>
      </w:r>
      <w:r w:rsidRPr="00E164A5">
        <w:rPr>
          <w:i/>
          <w:lang w:val="en-US"/>
        </w:rPr>
        <w:t>confusionmatrix</w:t>
      </w:r>
      <w:r w:rsidRPr="00E164A5">
        <w:t xml:space="preserve">), </w:t>
      </w:r>
      <w:r w:rsidR="00316378" w:rsidRPr="00E164A5">
        <w:t>отражающей</w:t>
      </w:r>
      <w:r w:rsidRPr="00E164A5">
        <w:t xml:space="preserve"> все возможные ис</w:t>
      </w:r>
      <w:r w:rsidR="0047632D" w:rsidRPr="00E164A5">
        <w:t>ходы</w:t>
      </w:r>
      <w:r w:rsidRPr="00E164A5">
        <w:t>:</w:t>
      </w:r>
    </w:p>
    <w:tbl>
      <w:tblPr>
        <w:tblStyle w:val="af2"/>
        <w:tblW w:w="0" w:type="auto"/>
        <w:tblLook w:val="04A0"/>
      </w:tblPr>
      <w:tblGrid>
        <w:gridCol w:w="2151"/>
        <w:gridCol w:w="2151"/>
        <w:gridCol w:w="2151"/>
      </w:tblGrid>
      <w:tr w:rsidR="00DE4427" w:rsidRPr="00E164A5" w:rsidTr="00DE4427">
        <w:trPr>
          <w:trHeight w:val="299"/>
        </w:trPr>
        <w:tc>
          <w:tcPr>
            <w:tcW w:w="2151" w:type="dxa"/>
          </w:tcPr>
          <w:p w:rsidR="00DE4427" w:rsidRPr="00E164A5" w:rsidRDefault="00DE4427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1" w:type="dxa"/>
          </w:tcPr>
          <w:p w:rsidR="00DE4427" w:rsidRPr="00E164A5" w:rsidRDefault="00DE4427" w:rsidP="004D5AB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</w:rPr>
              <w:t>Произошло</w:t>
            </w:r>
          </w:p>
        </w:tc>
        <w:tc>
          <w:tcPr>
            <w:tcW w:w="2151" w:type="dxa"/>
          </w:tcPr>
          <w:p w:rsidR="00DE4427" w:rsidRPr="00E164A5" w:rsidRDefault="00DE4427" w:rsidP="004D5AB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</w:rPr>
              <w:t>Не произошло</w:t>
            </w:r>
          </w:p>
        </w:tc>
      </w:tr>
      <w:tr w:rsidR="00DE4427" w:rsidRPr="00E164A5" w:rsidTr="00DE4427">
        <w:tc>
          <w:tcPr>
            <w:tcW w:w="2151" w:type="dxa"/>
          </w:tcPr>
          <w:p w:rsidR="00DE4427" w:rsidRPr="00E164A5" w:rsidRDefault="00DE4427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Было предсказано</w:t>
            </w:r>
          </w:p>
        </w:tc>
        <w:tc>
          <w:tcPr>
            <w:tcW w:w="2151" w:type="dxa"/>
          </w:tcPr>
          <w:p w:rsidR="00DE4427" w:rsidRPr="00E164A5" w:rsidRDefault="00AC4C1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TP</m:t>
                </m:r>
              </m:oMath>
            </m:oMathPara>
          </w:p>
        </w:tc>
        <w:tc>
          <w:tcPr>
            <w:tcW w:w="2151" w:type="dxa"/>
          </w:tcPr>
          <w:p w:rsidR="00DE4427" w:rsidRPr="00E164A5" w:rsidRDefault="00DE4427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FP</m:t>
                </m:r>
              </m:oMath>
            </m:oMathPara>
          </w:p>
        </w:tc>
      </w:tr>
      <w:tr w:rsidR="00DE4427" w:rsidRPr="00E164A5" w:rsidTr="00DE4427">
        <w:tc>
          <w:tcPr>
            <w:tcW w:w="2151" w:type="dxa"/>
          </w:tcPr>
          <w:p w:rsidR="00DE4427" w:rsidRPr="00E164A5" w:rsidRDefault="00DE4427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Не было предсказано</w:t>
            </w:r>
          </w:p>
        </w:tc>
        <w:tc>
          <w:tcPr>
            <w:tcW w:w="2151" w:type="dxa"/>
          </w:tcPr>
          <w:p w:rsidR="00DE4427" w:rsidRPr="00E164A5" w:rsidRDefault="00DE4427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FN</m:t>
                </m:r>
              </m:oMath>
            </m:oMathPara>
          </w:p>
        </w:tc>
        <w:tc>
          <w:tcPr>
            <w:tcW w:w="2151" w:type="dxa"/>
          </w:tcPr>
          <w:p w:rsidR="00DE4427" w:rsidRPr="00E164A5" w:rsidRDefault="00AC4C18" w:rsidP="004D5AB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TN</m:t>
                </m:r>
              </m:oMath>
            </m:oMathPara>
          </w:p>
        </w:tc>
      </w:tr>
    </w:tbl>
    <w:p w:rsidR="00316378" w:rsidRPr="00E164A5" w:rsidRDefault="00DE4427" w:rsidP="00752F34">
      <w:pPr>
        <w:pStyle w:val="a0"/>
        <w:jc w:val="center"/>
        <w:rPr>
          <w:sz w:val="18"/>
          <w:szCs w:val="18"/>
        </w:rPr>
      </w:pPr>
      <w:r w:rsidRPr="00E164A5">
        <w:rPr>
          <w:sz w:val="18"/>
          <w:szCs w:val="18"/>
        </w:rPr>
        <w:t xml:space="preserve">Таблица </w:t>
      </w:r>
      <w:r w:rsidR="00D2491A" w:rsidRPr="00E164A5">
        <w:rPr>
          <w:sz w:val="18"/>
          <w:szCs w:val="18"/>
        </w:rPr>
        <w:t>2</w:t>
      </w:r>
      <w:r w:rsidRPr="00E164A5">
        <w:rPr>
          <w:sz w:val="18"/>
          <w:szCs w:val="18"/>
        </w:rPr>
        <w:t>. Матрица ошибок моделей для предсказания землетрясений</w:t>
      </w:r>
    </w:p>
    <w:p w:rsidR="00752F34" w:rsidRPr="00E164A5" w:rsidRDefault="006F5AA0" w:rsidP="00752F34">
      <w:pPr>
        <w:pStyle w:val="a0"/>
      </w:pPr>
      <w:r w:rsidRPr="00E164A5">
        <w:lastRenderedPageBreak/>
        <w:t xml:space="preserve">Ниже даны определения метрик качества, использованных в данном исследовании. Прежде всего, это </w:t>
      </w:r>
      <w:r w:rsidR="00022BD8" w:rsidRPr="00E164A5">
        <w:t>точность</w:t>
      </w:r>
      <w:r w:rsidRPr="00E164A5">
        <w:t xml:space="preserve"> (</w:t>
      </w:r>
      <w:r w:rsidRPr="00E164A5">
        <w:rPr>
          <w:i/>
          <w:lang w:val="en-US"/>
        </w:rPr>
        <w:t>accuracy</w:t>
      </w:r>
      <w:r w:rsidRPr="00E164A5">
        <w:t>)</w:t>
      </w:r>
      <w:r w:rsidR="00022BD8" w:rsidRPr="00E164A5">
        <w:t xml:space="preserve">, указывающая на долю правильных предсказаний среди всех </w:t>
      </w:r>
      <w:r w:rsidR="00425E59" w:rsidRPr="00E164A5">
        <w:t>предсказаний, сделанных моделью:</w:t>
      </w:r>
    </w:p>
    <w:p w:rsidR="00022BD8" w:rsidRPr="00E164A5" w:rsidRDefault="00022BD8" w:rsidP="00022BD8">
      <w:pPr>
        <w:pStyle w:val="a0"/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TP+FP+TN+FN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022BD8" w:rsidRPr="00E164A5" w:rsidRDefault="00022BD8" w:rsidP="00022BD8">
      <w:pPr>
        <w:pStyle w:val="a0"/>
        <w:rPr>
          <w:lang w:val="en-US"/>
        </w:rPr>
      </w:pPr>
      <w:r w:rsidRPr="00E164A5">
        <w:t>Также модели оценивались с точки зрения таких критериев, как чувствительность (</w:t>
      </w:r>
      <w:r w:rsidRPr="00E164A5">
        <w:rPr>
          <w:i/>
          <w:lang w:val="en-US"/>
        </w:rPr>
        <w:t>sensitivity</w:t>
      </w:r>
      <w:r w:rsidRPr="00E164A5">
        <w:t xml:space="preserve">, обозн.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E164A5">
        <w:t xml:space="preserve"> или</w:t>
      </w:r>
      <m:oMath>
        <m:r>
          <w:rPr>
            <w:rFonts w:ascii="Cambria Math" w:hAnsi="Cambria Math"/>
            <w:lang w:val="en-US"/>
          </w:rPr>
          <m:t>POD</m:t>
        </m:r>
      </m:oMath>
      <w:r w:rsidRPr="00E164A5">
        <w:rPr>
          <w:lang w:val="en-US"/>
        </w:rPr>
        <w:t xml:space="preserve"> - </w:t>
      </w:r>
      <w:r w:rsidRPr="00E164A5">
        <w:t>от</w:t>
      </w:r>
      <w:r w:rsidRPr="00E164A5">
        <w:rPr>
          <w:i/>
          <w:lang w:val="en-US"/>
        </w:rPr>
        <w:t>probability of detection</w:t>
      </w:r>
      <w:r w:rsidRPr="00E164A5">
        <w:rPr>
          <w:lang w:val="en-US"/>
        </w:rPr>
        <w:t xml:space="preserve">) </w:t>
      </w:r>
      <w:r w:rsidRPr="00E164A5">
        <w:t>испецифичность</w:t>
      </w:r>
      <w:r w:rsidRPr="00E164A5">
        <w:rPr>
          <w:lang w:val="en-US"/>
        </w:rPr>
        <w:t xml:space="preserve"> (</w:t>
      </w:r>
      <w:r w:rsidRPr="00E164A5">
        <w:rPr>
          <w:i/>
          <w:lang w:val="en-US"/>
        </w:rPr>
        <w:t>specificity</w:t>
      </w:r>
      <w:r w:rsidRPr="00E164A5">
        <w:rPr>
          <w:lang w:val="en-US"/>
        </w:rPr>
        <w:t xml:space="preserve">, </w:t>
      </w:r>
      <w:r w:rsidRPr="00E164A5">
        <w:t>обозн</w:t>
      </w:r>
      <w:r w:rsidRPr="00E164A5">
        <w:rPr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047DBA" w:rsidRPr="00E164A5">
        <w:rPr>
          <w:lang w:val="en-US"/>
        </w:rPr>
        <w:t>)</w:t>
      </w:r>
      <w:r w:rsidRPr="00E164A5">
        <w:rPr>
          <w:lang w:val="en-US"/>
        </w:rPr>
        <w:t>:</w:t>
      </w:r>
    </w:p>
    <w:p w:rsidR="00022BD8" w:rsidRPr="00E164A5" w:rsidRDefault="00C647AA" w:rsidP="00AC4C18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  <w:lang w:val="en-US"/>
            </w:rPr>
            <m:t xml:space="preserve">;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 xml:space="preserve"> . </m:t>
          </m:r>
        </m:oMath>
      </m:oMathPara>
    </w:p>
    <w:p w:rsidR="000777EC" w:rsidRPr="00E164A5" w:rsidRDefault="000777EC" w:rsidP="000777EC">
      <w:pPr>
        <w:pStyle w:val="a0"/>
      </w:pPr>
      <w:r w:rsidRPr="00E164A5">
        <w:t xml:space="preserve">Наконец, важными критериями оценки качества выступают метрики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164A5">
        <w:t xml:space="preserve"> (</w:t>
      </w:r>
      <w:r w:rsidRPr="00E164A5">
        <w:rPr>
          <w:i/>
          <w:lang w:val="en-US"/>
        </w:rPr>
        <w:t>positivepredictivevalue</w:t>
      </w:r>
      <w:r w:rsidRPr="00E164A5">
        <w:t xml:space="preserve">)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164A5">
        <w:t xml:space="preserve"> (</w:t>
      </w:r>
      <w:r w:rsidRPr="00E164A5">
        <w:rPr>
          <w:i/>
          <w:lang w:val="en-US"/>
        </w:rPr>
        <w:t>negativepredictivevalue</w:t>
      </w:r>
      <w:r w:rsidRPr="00E164A5">
        <w:t xml:space="preserve">), </w:t>
      </w:r>
      <w:r w:rsidR="00425E59" w:rsidRPr="00E164A5">
        <w:t xml:space="preserve">которые </w:t>
      </w:r>
      <w:r w:rsidRPr="00E164A5">
        <w:t>определяются следующим образом:</w:t>
      </w:r>
    </w:p>
    <w:p w:rsidR="00BD2124" w:rsidRPr="00E164A5" w:rsidRDefault="00C647AA" w:rsidP="00AC4C18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 xml:space="preserve"> ;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TN</m:t>
              </m:r>
            </m:num>
            <m:den>
              <m:r>
                <w:rPr>
                  <w:rFonts w:ascii="Cambria Math" w:hAnsi="Cambria Math"/>
                  <w:lang w:val="en-US"/>
                </w:rPr>
                <m:t>TN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010D14" w:rsidRPr="00E164A5" w:rsidRDefault="00C76AE6" w:rsidP="00F849F9">
      <w:pPr>
        <w:pStyle w:val="1"/>
        <w:numPr>
          <w:ilvl w:val="0"/>
          <w:numId w:val="0"/>
        </w:numPr>
      </w:pPr>
      <w:r w:rsidRPr="00E164A5">
        <w:t>Выводы на основе результатов</w:t>
      </w:r>
    </w:p>
    <w:p w:rsidR="00425E59" w:rsidRPr="00E164A5" w:rsidRDefault="00425E59" w:rsidP="00425E59">
      <w:pPr>
        <w:pStyle w:val="a0"/>
      </w:pPr>
      <w:r w:rsidRPr="00E164A5">
        <w:t>Итак, в ходе экспериментов, прежде всего, было установлено, что методы машинного обучения могут быть использованы для решения задач, связанных с предсказанием землетрясений. При этом, как показывают значения метрик для моделей, построенных по данным для Центрального Чили (см. Табл. 3), эти методы могут давать хорошие результаты как с точки зрения чувствительности к землетрясениям, так и в смысле небольшого количества «ложных тревог», что также является существенным.</w:t>
      </w:r>
    </w:p>
    <w:tbl>
      <w:tblPr>
        <w:tblStyle w:val="af2"/>
        <w:tblW w:w="0" w:type="auto"/>
        <w:tblLook w:val="04A0"/>
      </w:tblPr>
      <w:tblGrid>
        <w:gridCol w:w="976"/>
        <w:gridCol w:w="1029"/>
        <w:gridCol w:w="954"/>
        <w:gridCol w:w="954"/>
        <w:gridCol w:w="906"/>
        <w:gridCol w:w="837"/>
        <w:gridCol w:w="797"/>
      </w:tblGrid>
      <w:tr w:rsidR="00425E59" w:rsidRPr="00E164A5" w:rsidTr="001E4D86">
        <w:tc>
          <w:tcPr>
            <w:tcW w:w="976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29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Logistic Regression</w:t>
            </w:r>
          </w:p>
        </w:tc>
        <w:tc>
          <w:tcPr>
            <w:tcW w:w="954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KNN Classifier</w:t>
            </w:r>
          </w:p>
        </w:tc>
        <w:tc>
          <w:tcPr>
            <w:tcW w:w="954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</w:rPr>
              <w:t>Support Vector Classifier</w:t>
            </w:r>
          </w:p>
        </w:tc>
        <w:tc>
          <w:tcPr>
            <w:tcW w:w="906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Decision Tree</w:t>
            </w:r>
          </w:p>
        </w:tc>
        <w:tc>
          <w:tcPr>
            <w:tcW w:w="837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Random Forest</w:t>
            </w:r>
          </w:p>
        </w:tc>
        <w:tc>
          <w:tcPr>
            <w:tcW w:w="797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Feed-forward ANN</w:t>
            </w:r>
          </w:p>
        </w:tc>
      </w:tr>
      <w:tr w:rsidR="00425E59" w:rsidRPr="00E164A5" w:rsidTr="001E4D86">
        <w:tc>
          <w:tcPr>
            <w:tcW w:w="976" w:type="dxa"/>
            <w:vAlign w:val="center"/>
          </w:tcPr>
          <w:p w:rsidR="00425E59" w:rsidRPr="00E164A5" w:rsidRDefault="00C647AA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0.62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0.54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0.50</w:t>
            </w:r>
          </w:p>
        </w:tc>
        <w:tc>
          <w:tcPr>
            <w:tcW w:w="906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0.52</w:t>
            </w:r>
          </w:p>
        </w:tc>
        <w:tc>
          <w:tcPr>
            <w:tcW w:w="83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0.52</w:t>
            </w:r>
          </w:p>
        </w:tc>
        <w:tc>
          <w:tcPr>
            <w:tcW w:w="79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0.62</w:t>
            </w:r>
          </w:p>
        </w:tc>
      </w:tr>
      <w:tr w:rsidR="00425E59" w:rsidRPr="00E164A5" w:rsidTr="001E4D86">
        <w:tc>
          <w:tcPr>
            <w:tcW w:w="976" w:type="dxa"/>
            <w:vAlign w:val="center"/>
          </w:tcPr>
          <w:p w:rsidR="00425E59" w:rsidRPr="00E164A5" w:rsidRDefault="00C647AA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0.61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0.76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0.79</w:t>
            </w:r>
          </w:p>
        </w:tc>
        <w:tc>
          <w:tcPr>
            <w:tcW w:w="906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0.67</w:t>
            </w:r>
          </w:p>
        </w:tc>
        <w:tc>
          <w:tcPr>
            <w:tcW w:w="83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0.70</w:t>
            </w:r>
          </w:p>
        </w:tc>
        <w:tc>
          <w:tcPr>
            <w:tcW w:w="79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0.72</w:t>
            </w:r>
          </w:p>
        </w:tc>
      </w:tr>
      <w:tr w:rsidR="00425E59" w:rsidRPr="00E164A5" w:rsidTr="001E4D86">
        <w:tc>
          <w:tcPr>
            <w:tcW w:w="976" w:type="dxa"/>
            <w:vAlign w:val="center"/>
          </w:tcPr>
          <w:p w:rsidR="00425E59" w:rsidRPr="00E164A5" w:rsidRDefault="00C647AA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0.13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0.75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0.84</w:t>
            </w:r>
          </w:p>
        </w:tc>
        <w:tc>
          <w:tcPr>
            <w:tcW w:w="906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0.51</w:t>
            </w:r>
          </w:p>
        </w:tc>
        <w:tc>
          <w:tcPr>
            <w:tcW w:w="83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0.62</w:t>
            </w:r>
          </w:p>
        </w:tc>
        <w:tc>
          <w:tcPr>
            <w:tcW w:w="79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0.57</w:t>
            </w:r>
          </w:p>
        </w:tc>
      </w:tr>
      <w:tr w:rsidR="00425E59" w:rsidRPr="00E164A5" w:rsidTr="001E4D86">
        <w:tc>
          <w:tcPr>
            <w:tcW w:w="976" w:type="dxa"/>
            <w:vAlign w:val="center"/>
          </w:tcPr>
          <w:p w:rsidR="00425E59" w:rsidRPr="00E164A5" w:rsidRDefault="00C647AA" w:rsidP="001E4D86">
            <w:pPr>
              <w:pStyle w:val="af1"/>
              <w:jc w:val="center"/>
              <w:rPr>
                <w:rFonts w:ascii="Times New Roman" w:eastAsiaTheme="minorEastAsia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0.95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0.56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0.43</w:t>
            </w:r>
          </w:p>
        </w:tc>
        <w:tc>
          <w:tcPr>
            <w:tcW w:w="906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0.67</w:t>
            </w:r>
          </w:p>
        </w:tc>
        <w:tc>
          <w:tcPr>
            <w:tcW w:w="83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0.60</w:t>
            </w:r>
          </w:p>
        </w:tc>
        <w:tc>
          <w:tcPr>
            <w:tcW w:w="79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0.76</w:t>
            </w:r>
          </w:p>
        </w:tc>
      </w:tr>
      <w:tr w:rsidR="00425E59" w:rsidRPr="00E164A5" w:rsidTr="001E4D86">
        <w:tc>
          <w:tcPr>
            <w:tcW w:w="976" w:type="dxa"/>
            <w:vAlign w:val="center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Accuracy</w:t>
            </w:r>
          </w:p>
        </w:tc>
        <w:tc>
          <w:tcPr>
            <w:tcW w:w="1029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0.61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0.64</w:t>
            </w:r>
          </w:p>
        </w:tc>
        <w:tc>
          <w:tcPr>
            <w:tcW w:w="954" w:type="dxa"/>
          </w:tcPr>
          <w:p w:rsidR="00425E59" w:rsidRPr="00E164A5" w:rsidRDefault="00425E59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0.59</w:t>
            </w:r>
          </w:p>
        </w:tc>
        <w:tc>
          <w:tcPr>
            <w:tcW w:w="906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0.60</w:t>
            </w:r>
          </w:p>
        </w:tc>
        <w:tc>
          <w:tcPr>
            <w:tcW w:w="83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0.61</w:t>
            </w:r>
          </w:p>
        </w:tc>
        <w:tc>
          <w:tcPr>
            <w:tcW w:w="797" w:type="dxa"/>
          </w:tcPr>
          <w:p w:rsidR="00425E59" w:rsidRPr="00E164A5" w:rsidRDefault="00425E59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0.68</w:t>
            </w:r>
          </w:p>
        </w:tc>
      </w:tr>
    </w:tbl>
    <w:p w:rsidR="00425E59" w:rsidRPr="00E164A5" w:rsidRDefault="00425E59" w:rsidP="00425E59">
      <w:pPr>
        <w:pStyle w:val="a0"/>
        <w:jc w:val="center"/>
        <w:rPr>
          <w:sz w:val="18"/>
          <w:szCs w:val="18"/>
        </w:rPr>
      </w:pPr>
      <w:r w:rsidRPr="00E164A5">
        <w:rPr>
          <w:sz w:val="18"/>
          <w:szCs w:val="18"/>
        </w:rPr>
        <w:t>Таблица 3. Результаты работы моделей на наборе индикаторов Reyes et al. [</w:t>
      </w:r>
      <w:r w:rsidRPr="00E164A5">
        <w:rPr>
          <w:sz w:val="18"/>
          <w:szCs w:val="18"/>
          <w:lang w:val="en-GB"/>
        </w:rPr>
        <w:t>4]</w:t>
      </w:r>
      <w:r w:rsidRPr="00E164A5">
        <w:rPr>
          <w:sz w:val="18"/>
          <w:szCs w:val="18"/>
        </w:rPr>
        <w:t xml:space="preserve"> для Центрального Чили</w:t>
      </w:r>
    </w:p>
    <w:p w:rsidR="00425E59" w:rsidRPr="00E164A5" w:rsidRDefault="00425E59" w:rsidP="00425E59">
      <w:pPr>
        <w:pStyle w:val="a0"/>
      </w:pPr>
      <w:r w:rsidRPr="00E164A5">
        <w:tab/>
        <w:t xml:space="preserve">Однако в процессе построения и оценки качества моделей было выявлено сильное различие в результатах, полученных для разных </w:t>
      </w:r>
      <w:r w:rsidRPr="00E164A5">
        <w:lastRenderedPageBreak/>
        <w:t>регионов. С точки зрения сбалансированности, чувствительности и точности модели</w:t>
      </w:r>
      <w:r w:rsidR="00876C43" w:rsidRPr="00E164A5">
        <w:t xml:space="preserve"> (в том числе нейросетевые</w:t>
      </w:r>
      <w:r w:rsidR="004D5ABB" w:rsidRPr="00E164A5">
        <w:t>, как показано в Табл. 4</w:t>
      </w:r>
      <w:r w:rsidR="00876C43" w:rsidRPr="00E164A5">
        <w:t>)</w:t>
      </w:r>
      <w:r w:rsidRPr="00E164A5">
        <w:t xml:space="preserve">, построенные для данных из </w:t>
      </w:r>
      <w:r w:rsidR="004D5ABB" w:rsidRPr="00E164A5">
        <w:t>некоторых зон</w:t>
      </w:r>
      <w:r w:rsidRPr="00E164A5">
        <w:t xml:space="preserve"> оказались в среднем хуже, чем классификаторы, обученные на данных из Чили. </w:t>
      </w:r>
    </w:p>
    <w:tbl>
      <w:tblPr>
        <w:tblStyle w:val="af2"/>
        <w:tblW w:w="0" w:type="auto"/>
        <w:tblLayout w:type="fixed"/>
        <w:tblLook w:val="04A0"/>
      </w:tblPr>
      <w:tblGrid>
        <w:gridCol w:w="988"/>
        <w:gridCol w:w="895"/>
        <w:gridCol w:w="882"/>
        <w:gridCol w:w="774"/>
        <w:gridCol w:w="709"/>
        <w:gridCol w:w="1134"/>
        <w:gridCol w:w="1071"/>
      </w:tblGrid>
      <w:tr w:rsidR="004D5ABB" w:rsidRPr="00E164A5" w:rsidTr="004D5ABB">
        <w:tc>
          <w:tcPr>
            <w:tcW w:w="988" w:type="dxa"/>
          </w:tcPr>
          <w:p w:rsidR="004D5ABB" w:rsidRPr="00E164A5" w:rsidRDefault="004D5ABB" w:rsidP="004D5AB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Feed-forward ANN</w:t>
            </w:r>
          </w:p>
        </w:tc>
        <w:tc>
          <w:tcPr>
            <w:tcW w:w="895" w:type="dxa"/>
          </w:tcPr>
          <w:p w:rsidR="004D5ABB" w:rsidRPr="00E164A5" w:rsidRDefault="004D5ABB" w:rsidP="004D5AB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Chile, AP [</w:t>
            </w:r>
            <w:r w:rsidR="00AE0D62"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6</w:t>
            </w: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]</w:t>
            </w:r>
          </w:p>
        </w:tc>
        <w:tc>
          <w:tcPr>
            <w:tcW w:w="882" w:type="dxa"/>
          </w:tcPr>
          <w:p w:rsidR="004D5ABB" w:rsidRPr="00E164A5" w:rsidRDefault="004D5ABB" w:rsidP="004D5AB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Chile, Reyes [4]</w:t>
            </w:r>
          </w:p>
        </w:tc>
        <w:tc>
          <w:tcPr>
            <w:tcW w:w="774" w:type="dxa"/>
          </w:tcPr>
          <w:p w:rsidR="004D5ABB" w:rsidRPr="00E164A5" w:rsidRDefault="004D5ABB" w:rsidP="004D5AB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Sicily, AP [</w:t>
            </w:r>
            <w:r w:rsidR="00AE0D62"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6</w:t>
            </w: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]</w:t>
            </w:r>
          </w:p>
        </w:tc>
        <w:tc>
          <w:tcPr>
            <w:tcW w:w="709" w:type="dxa"/>
          </w:tcPr>
          <w:p w:rsidR="004D5ABB" w:rsidRPr="00E164A5" w:rsidRDefault="004D5ABB" w:rsidP="004D5AB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Sicily, Reyes [4]</w:t>
            </w:r>
          </w:p>
        </w:tc>
        <w:tc>
          <w:tcPr>
            <w:tcW w:w="1134" w:type="dxa"/>
          </w:tcPr>
          <w:p w:rsidR="004D5ABB" w:rsidRPr="00E164A5" w:rsidRDefault="004D5ABB" w:rsidP="004D5AB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South California, AP [</w:t>
            </w:r>
            <w:r w:rsidR="00AE0D62"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6</w:t>
            </w: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]</w:t>
            </w:r>
          </w:p>
        </w:tc>
        <w:tc>
          <w:tcPr>
            <w:tcW w:w="1071" w:type="dxa"/>
          </w:tcPr>
          <w:p w:rsidR="004D5ABB" w:rsidRPr="00E164A5" w:rsidRDefault="004D5ABB" w:rsidP="004D5AB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South California, Reyes [4]</w:t>
            </w:r>
          </w:p>
        </w:tc>
      </w:tr>
      <w:tr w:rsidR="004D5ABB" w:rsidRPr="00E164A5" w:rsidTr="004D5ABB">
        <w:tc>
          <w:tcPr>
            <w:tcW w:w="988" w:type="dxa"/>
          </w:tcPr>
          <w:p w:rsidR="004C0E7E" w:rsidRPr="00E164A5" w:rsidRDefault="00C647AA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0.55</w:t>
            </w:r>
          </w:p>
        </w:tc>
        <w:tc>
          <w:tcPr>
            <w:tcW w:w="882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0.62</w:t>
            </w:r>
          </w:p>
        </w:tc>
        <w:tc>
          <w:tcPr>
            <w:tcW w:w="774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0.44</w:t>
            </w:r>
          </w:p>
        </w:tc>
        <w:tc>
          <w:tcPr>
            <w:tcW w:w="709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0.47</w:t>
            </w:r>
          </w:p>
        </w:tc>
        <w:tc>
          <w:tcPr>
            <w:tcW w:w="1134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</w:t>
            </w:r>
            <w:r w:rsidR="004C0E7E" w:rsidRPr="00E164A5"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071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0.50</w:t>
            </w:r>
          </w:p>
        </w:tc>
      </w:tr>
      <w:tr w:rsidR="004D5ABB" w:rsidRPr="00E164A5" w:rsidTr="004D5ABB">
        <w:tc>
          <w:tcPr>
            <w:tcW w:w="988" w:type="dxa"/>
          </w:tcPr>
          <w:p w:rsidR="004C0E7E" w:rsidRPr="00E164A5" w:rsidRDefault="00C647AA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0.68</w:t>
            </w:r>
          </w:p>
        </w:tc>
        <w:tc>
          <w:tcPr>
            <w:tcW w:w="882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0.72</w:t>
            </w:r>
          </w:p>
        </w:tc>
        <w:tc>
          <w:tcPr>
            <w:tcW w:w="774" w:type="dxa"/>
          </w:tcPr>
          <w:p w:rsidR="004C0E7E" w:rsidRPr="00E164A5" w:rsidRDefault="004C0E7E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0.59</w:t>
            </w:r>
          </w:p>
        </w:tc>
        <w:tc>
          <w:tcPr>
            <w:tcW w:w="709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0.60</w:t>
            </w:r>
          </w:p>
        </w:tc>
        <w:tc>
          <w:tcPr>
            <w:tcW w:w="1134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0.81</w:t>
            </w:r>
          </w:p>
        </w:tc>
        <w:tc>
          <w:tcPr>
            <w:tcW w:w="1071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0.81</w:t>
            </w:r>
          </w:p>
        </w:tc>
      </w:tr>
      <w:tr w:rsidR="004D5ABB" w:rsidRPr="00E164A5" w:rsidTr="004D5ABB">
        <w:tc>
          <w:tcPr>
            <w:tcW w:w="988" w:type="dxa"/>
          </w:tcPr>
          <w:p w:rsidR="004C0E7E" w:rsidRPr="00E164A5" w:rsidRDefault="00C647AA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0.52</w:t>
            </w:r>
          </w:p>
        </w:tc>
        <w:tc>
          <w:tcPr>
            <w:tcW w:w="882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0.57</w:t>
            </w:r>
          </w:p>
        </w:tc>
        <w:tc>
          <w:tcPr>
            <w:tcW w:w="774" w:type="dxa"/>
          </w:tcPr>
          <w:p w:rsidR="004C0E7E" w:rsidRPr="00E164A5" w:rsidRDefault="004D5ABB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b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b/>
                <w:sz w:val="18"/>
                <w:szCs w:val="18"/>
                <w:lang w:val="en-US" w:eastAsia="en-US"/>
              </w:rPr>
              <w:t>0.1</w:t>
            </w:r>
            <w:r w:rsidR="004C0E7E" w:rsidRPr="00E164A5">
              <w:rPr>
                <w:rFonts w:ascii="Times New Roman" w:eastAsiaTheme="minorHAnsi" w:hAnsi="Times New Roman" w:cs="Times New Roman"/>
                <w:b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709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0.15</w:t>
            </w:r>
          </w:p>
        </w:tc>
        <w:tc>
          <w:tcPr>
            <w:tcW w:w="1134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0.18</w:t>
            </w:r>
          </w:p>
        </w:tc>
        <w:tc>
          <w:tcPr>
            <w:tcW w:w="1071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0.24</w:t>
            </w:r>
          </w:p>
        </w:tc>
      </w:tr>
      <w:tr w:rsidR="004D5ABB" w:rsidRPr="00E164A5" w:rsidTr="004D5ABB">
        <w:tc>
          <w:tcPr>
            <w:tcW w:w="988" w:type="dxa"/>
          </w:tcPr>
          <w:p w:rsidR="004C0E7E" w:rsidRPr="00E164A5" w:rsidRDefault="00C647AA" w:rsidP="001E4D86">
            <w:pPr>
              <w:pStyle w:val="af1"/>
              <w:jc w:val="center"/>
              <w:rPr>
                <w:rFonts w:ascii="Times New Roman" w:eastAsiaTheme="minorEastAsia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95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0.71</w:t>
            </w:r>
          </w:p>
        </w:tc>
        <w:tc>
          <w:tcPr>
            <w:tcW w:w="882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0.76</w:t>
            </w:r>
          </w:p>
        </w:tc>
        <w:tc>
          <w:tcPr>
            <w:tcW w:w="774" w:type="dxa"/>
          </w:tcPr>
          <w:p w:rsidR="004C0E7E" w:rsidRPr="00E164A5" w:rsidRDefault="004D5ABB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0.87</w:t>
            </w:r>
          </w:p>
        </w:tc>
        <w:tc>
          <w:tcPr>
            <w:tcW w:w="709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0.88</w:t>
            </w:r>
          </w:p>
        </w:tc>
        <w:tc>
          <w:tcPr>
            <w:tcW w:w="1134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0.86</w:t>
            </w:r>
          </w:p>
        </w:tc>
        <w:tc>
          <w:tcPr>
            <w:tcW w:w="1071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0.99</w:t>
            </w:r>
          </w:p>
        </w:tc>
      </w:tr>
      <w:tr w:rsidR="004D5ABB" w:rsidRPr="00E164A5" w:rsidTr="004D5ABB">
        <w:tc>
          <w:tcPr>
            <w:tcW w:w="988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Accuracy</w:t>
            </w:r>
          </w:p>
        </w:tc>
        <w:tc>
          <w:tcPr>
            <w:tcW w:w="895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0.63</w:t>
            </w:r>
          </w:p>
        </w:tc>
        <w:tc>
          <w:tcPr>
            <w:tcW w:w="882" w:type="dxa"/>
          </w:tcPr>
          <w:p w:rsidR="004C0E7E" w:rsidRPr="00E164A5" w:rsidRDefault="004C0E7E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0.68</w:t>
            </w:r>
          </w:p>
        </w:tc>
        <w:tc>
          <w:tcPr>
            <w:tcW w:w="774" w:type="dxa"/>
          </w:tcPr>
          <w:p w:rsidR="004C0E7E" w:rsidRPr="00E164A5" w:rsidRDefault="004D5ABB" w:rsidP="001E4D8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  <w:r w:rsidRPr="00E164A5"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  <w:t>0.57</w:t>
            </w:r>
          </w:p>
        </w:tc>
        <w:tc>
          <w:tcPr>
            <w:tcW w:w="709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134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0.73</w:t>
            </w:r>
          </w:p>
        </w:tc>
        <w:tc>
          <w:tcPr>
            <w:tcW w:w="1071" w:type="dxa"/>
          </w:tcPr>
          <w:p w:rsidR="004C0E7E" w:rsidRPr="00E164A5" w:rsidRDefault="004D5ABB" w:rsidP="001E4D86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0.80</w:t>
            </w:r>
          </w:p>
        </w:tc>
      </w:tr>
    </w:tbl>
    <w:p w:rsidR="004D5ABB" w:rsidRPr="00E164A5" w:rsidRDefault="004D5ABB" w:rsidP="004D5ABB">
      <w:pPr>
        <w:pStyle w:val="a0"/>
        <w:jc w:val="center"/>
        <w:rPr>
          <w:sz w:val="18"/>
          <w:szCs w:val="18"/>
        </w:rPr>
      </w:pPr>
      <w:r w:rsidRPr="00E164A5">
        <w:rPr>
          <w:sz w:val="18"/>
          <w:szCs w:val="18"/>
        </w:rPr>
        <w:t>Таблица 4. Результаты работы нейронных сетей прямого распространения на трёх сейсмических зонах (Чили, Сицилия, Южная Калифорния)</w:t>
      </w:r>
    </w:p>
    <w:p w:rsidR="00425E59" w:rsidRPr="00E164A5" w:rsidRDefault="00425E59" w:rsidP="004D5ABB">
      <w:pPr>
        <w:pStyle w:val="a0"/>
      </w:pPr>
      <w:r w:rsidRPr="00E164A5">
        <w:t>Мало того, даже в пределах одного региона для разных наборов сейсмических индикаторов получались модели разного качества. Примером такого региона стала Центральная Япония: в случае использования набора индикаторов Adeli &amp; Panakkat</w:t>
      </w:r>
      <w:r w:rsidR="004D5ABB" w:rsidRPr="00E164A5">
        <w:t xml:space="preserve"> [</w:t>
      </w:r>
      <w:r w:rsidR="00AE0D62" w:rsidRPr="00E164A5">
        <w:t>6</w:t>
      </w:r>
      <w:r w:rsidR="004D5ABB" w:rsidRPr="00E164A5">
        <w:t>]</w:t>
      </w:r>
      <w:r w:rsidRPr="00E164A5">
        <w:t xml:space="preserve"> результирующая нейронная сеть прямого распространения гораздо лучше улавливает землетрясения, чем построенная на основе индикаторов Reyes et al.</w:t>
      </w:r>
      <w:r w:rsidR="004D5ABB" w:rsidRPr="00E164A5">
        <w:t xml:space="preserve"> [4]</w:t>
      </w:r>
      <w:r w:rsidRPr="00E164A5">
        <w:t>, а классификатор на основе k ближайших соседей показывает наиболее сбалансированные результаты в смысле рассматриваемых метрик.</w:t>
      </w:r>
    </w:p>
    <w:tbl>
      <w:tblPr>
        <w:tblStyle w:val="af2"/>
        <w:tblW w:w="0" w:type="auto"/>
        <w:tblLayout w:type="fixed"/>
        <w:tblLook w:val="04A0"/>
      </w:tblPr>
      <w:tblGrid>
        <w:gridCol w:w="988"/>
        <w:gridCol w:w="992"/>
        <w:gridCol w:w="850"/>
        <w:gridCol w:w="426"/>
        <w:gridCol w:w="1134"/>
        <w:gridCol w:w="1134"/>
        <w:gridCol w:w="850"/>
      </w:tblGrid>
      <w:tr w:rsidR="0019699B" w:rsidRPr="00E164A5" w:rsidTr="0019699B">
        <w:tc>
          <w:tcPr>
            <w:tcW w:w="988" w:type="dxa"/>
            <w:vAlign w:val="center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Cs/>
                <w:i/>
                <w:sz w:val="18"/>
                <w:szCs w:val="18"/>
                <w:lang w:val="en-US"/>
              </w:rPr>
              <w:t>Adeli &amp; Panakkat [</w:t>
            </w:r>
            <w:r w:rsidR="00AE0D62" w:rsidRPr="00E164A5">
              <w:rPr>
                <w:rFonts w:ascii="Times New Roman" w:hAnsi="Times New Roman"/>
                <w:bCs/>
                <w:i/>
                <w:sz w:val="18"/>
                <w:szCs w:val="18"/>
                <w:lang w:val="en-US"/>
              </w:rPr>
              <w:t>6</w:t>
            </w:r>
            <w:r w:rsidRPr="00E164A5">
              <w:rPr>
                <w:rFonts w:ascii="Times New Roman" w:hAnsi="Times New Roman"/>
                <w:bCs/>
                <w:i/>
                <w:sz w:val="18"/>
                <w:szCs w:val="18"/>
                <w:lang w:val="en-US"/>
              </w:rPr>
              <w:t>]</w:t>
            </w:r>
          </w:p>
        </w:tc>
        <w:tc>
          <w:tcPr>
            <w:tcW w:w="992" w:type="dxa"/>
            <w:vAlign w:val="center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KNN Classifier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Feed-forward ANN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Cs/>
                <w:i/>
                <w:sz w:val="18"/>
                <w:szCs w:val="18"/>
                <w:lang w:val="en-US"/>
              </w:rPr>
              <w:t>Reyes et al. [4]</w:t>
            </w:r>
          </w:p>
        </w:tc>
        <w:tc>
          <w:tcPr>
            <w:tcW w:w="1134" w:type="dxa"/>
            <w:vAlign w:val="center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KNN Classifier</w:t>
            </w:r>
          </w:p>
        </w:tc>
        <w:tc>
          <w:tcPr>
            <w:tcW w:w="850" w:type="dxa"/>
            <w:vAlign w:val="center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Feed-forward ANN</w:t>
            </w:r>
          </w:p>
        </w:tc>
      </w:tr>
      <w:tr w:rsidR="0019699B" w:rsidRPr="00E164A5" w:rsidTr="0019699B">
        <w:tc>
          <w:tcPr>
            <w:tcW w:w="988" w:type="dxa"/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</w:rPr>
              <w:t>0.52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0.49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0.46</w:t>
            </w:r>
          </w:p>
        </w:tc>
        <w:tc>
          <w:tcPr>
            <w:tcW w:w="850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0.59</w:t>
            </w:r>
          </w:p>
        </w:tc>
      </w:tr>
      <w:tr w:rsidR="0019699B" w:rsidRPr="00E164A5" w:rsidTr="0019699B">
        <w:tc>
          <w:tcPr>
            <w:tcW w:w="988" w:type="dxa"/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0.70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0.62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699B" w:rsidRPr="00E164A5" w:rsidRDefault="0019699B" w:rsidP="0019699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0.59</w:t>
            </w:r>
          </w:p>
        </w:tc>
        <w:tc>
          <w:tcPr>
            <w:tcW w:w="850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0.58</w:t>
            </w:r>
          </w:p>
        </w:tc>
      </w:tr>
      <w:tr w:rsidR="0019699B" w:rsidRPr="00E164A5" w:rsidTr="0019699B">
        <w:tc>
          <w:tcPr>
            <w:tcW w:w="988" w:type="dxa"/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0.69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0.44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699B" w:rsidRPr="00E164A5" w:rsidRDefault="0019699B" w:rsidP="0019699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b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0.42</w:t>
            </w:r>
          </w:p>
        </w:tc>
        <w:tc>
          <w:tcPr>
            <w:tcW w:w="850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0.05</w:t>
            </w:r>
          </w:p>
        </w:tc>
      </w:tr>
      <w:tr w:rsidR="0019699B" w:rsidRPr="00E164A5" w:rsidTr="0019699B">
        <w:tc>
          <w:tcPr>
            <w:tcW w:w="988" w:type="dxa"/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eastAsiaTheme="minorEastAsia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699B" w:rsidRPr="00E164A5" w:rsidRDefault="0019699B" w:rsidP="0019699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9699B" w:rsidRPr="00E164A5" w:rsidRDefault="00C647AA" w:rsidP="0019699B">
            <w:pPr>
              <w:pStyle w:val="af1"/>
              <w:jc w:val="center"/>
              <w:rPr>
                <w:rFonts w:ascii="Times New Roman" w:eastAsiaTheme="minorEastAsia" w:hAnsi="Times New Roman"/>
                <w:b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0.64</w:t>
            </w:r>
          </w:p>
        </w:tc>
        <w:tc>
          <w:tcPr>
            <w:tcW w:w="850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0.97</w:t>
            </w:r>
          </w:p>
        </w:tc>
      </w:tr>
      <w:tr w:rsidR="0019699B" w:rsidRPr="00E164A5" w:rsidTr="0019699B">
        <w:tc>
          <w:tcPr>
            <w:tcW w:w="988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Accuracy</w:t>
            </w:r>
          </w:p>
        </w:tc>
        <w:tc>
          <w:tcPr>
            <w:tcW w:w="992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0.60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699B" w:rsidRPr="00E164A5" w:rsidRDefault="0019699B" w:rsidP="0019699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eastAsiaTheme="minorHAnsi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Accuracy</w:t>
            </w:r>
          </w:p>
        </w:tc>
        <w:tc>
          <w:tcPr>
            <w:tcW w:w="1134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0.55</w:t>
            </w:r>
          </w:p>
        </w:tc>
        <w:tc>
          <w:tcPr>
            <w:tcW w:w="850" w:type="dxa"/>
          </w:tcPr>
          <w:p w:rsidR="0019699B" w:rsidRPr="00E164A5" w:rsidRDefault="0019699B" w:rsidP="0019699B">
            <w:pPr>
              <w:pStyle w:val="af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164A5">
              <w:rPr>
                <w:rFonts w:ascii="Times New Roman" w:hAnsi="Times New Roman"/>
                <w:sz w:val="18"/>
                <w:szCs w:val="18"/>
                <w:lang w:val="en-US"/>
              </w:rPr>
              <w:t>0.58</w:t>
            </w:r>
          </w:p>
        </w:tc>
      </w:tr>
    </w:tbl>
    <w:p w:rsidR="0019699B" w:rsidRPr="00E164A5" w:rsidRDefault="0019699B" w:rsidP="0019699B">
      <w:pPr>
        <w:pStyle w:val="a0"/>
        <w:jc w:val="center"/>
      </w:pPr>
      <w:r w:rsidRPr="00E164A5">
        <w:rPr>
          <w:sz w:val="18"/>
          <w:szCs w:val="18"/>
        </w:rPr>
        <w:t>Таблица 5. Сравнение работы моделей, построенных на основе разных сейсмических индикаторов (Центральная Япония)</w:t>
      </w:r>
    </w:p>
    <w:p w:rsidR="00E65812" w:rsidRPr="00E164A5" w:rsidRDefault="00425E59" w:rsidP="0019699B">
      <w:pPr>
        <w:pStyle w:val="a0"/>
      </w:pPr>
      <w:r w:rsidRPr="00E164A5">
        <w:t xml:space="preserve">Подобный результат можно объяснить тем, что сейсмичность в разных зонах имеет разную природу, и наборы сейсмических индикаторов, соответствующие различным моделям распределения сейсмичности, могут вносить различный «вклад» в активность в том или ином регионе. Соответственно, для того, чтобы уметь предсказывать землетрясения в регионе, необходимо понимать процессы, влияющие на его сейсмические свойства, а значит, требуется индивидуальный подход к подбору наиболее релевантных индикаторов для рассматриваемых сейсмических зон. </w:t>
      </w:r>
    </w:p>
    <w:p w:rsidR="00010D14" w:rsidRPr="00E164A5" w:rsidRDefault="00010D14">
      <w:pPr>
        <w:pStyle w:val="1"/>
        <w:rPr>
          <w:sz w:val="20"/>
          <w:szCs w:val="20"/>
        </w:rPr>
      </w:pPr>
      <w:r w:rsidRPr="00E164A5">
        <w:lastRenderedPageBreak/>
        <w:t>Заключение</w:t>
      </w:r>
    </w:p>
    <w:p w:rsidR="00010D14" w:rsidRPr="00E164A5" w:rsidRDefault="00E66FD9" w:rsidP="006D6238">
      <w:pPr>
        <w:pStyle w:val="a0"/>
        <w:spacing w:line="100" w:lineRule="atLeast"/>
      </w:pPr>
      <w:r w:rsidRPr="00E164A5">
        <w:rPr>
          <w:szCs w:val="20"/>
        </w:rPr>
        <w:t>Итак, суммируем результаты, достигнутые на данный момент: во-первых, в ходе обзора последних исследований</w:t>
      </w:r>
      <w:r w:rsidR="004D5ABB" w:rsidRPr="00E164A5">
        <w:rPr>
          <w:szCs w:val="20"/>
        </w:rPr>
        <w:t xml:space="preserve"> [</w:t>
      </w:r>
      <w:r w:rsidR="00AE0D62" w:rsidRPr="00E164A5">
        <w:rPr>
          <w:szCs w:val="20"/>
        </w:rPr>
        <w:t>9</w:t>
      </w:r>
      <w:r w:rsidR="004D5ABB" w:rsidRPr="00E164A5">
        <w:rPr>
          <w:szCs w:val="20"/>
        </w:rPr>
        <w:t>]</w:t>
      </w:r>
      <w:r w:rsidRPr="00E164A5">
        <w:rPr>
          <w:szCs w:val="20"/>
        </w:rPr>
        <w:t xml:space="preserve"> удалось выявить общие черты методологии, а также установить основные проблемы, тормозящие развитие предметной области. Решению одной из них была посвящена практическая часть, в ходе которой </w:t>
      </w:r>
      <w:r w:rsidR="00AE0D62" w:rsidRPr="00E164A5">
        <w:rPr>
          <w:szCs w:val="20"/>
        </w:rPr>
        <w:t>был создан</w:t>
      </w:r>
      <w:r w:rsidRPr="00E164A5">
        <w:rPr>
          <w:szCs w:val="20"/>
        </w:rPr>
        <w:t xml:space="preserve"> и размещён в открытый доступ «эталонный» набор данных о землетрясениях, обогащённый сейсмическими индикаторами. Наконец, на полученных данных был проведён ряд экспериментов, продемонстрировавших потенциал применения методов машинного обучения к</w:t>
      </w:r>
      <w:r w:rsidR="00AE0D62" w:rsidRPr="00E164A5">
        <w:rPr>
          <w:szCs w:val="20"/>
        </w:rPr>
        <w:t xml:space="preserve"> данной</w:t>
      </w:r>
      <w:r w:rsidRPr="00E164A5">
        <w:rPr>
          <w:szCs w:val="20"/>
        </w:rPr>
        <w:t xml:space="preserve"> задач</w:t>
      </w:r>
      <w:r w:rsidR="00AE0D62" w:rsidRPr="00E164A5">
        <w:rPr>
          <w:szCs w:val="20"/>
        </w:rPr>
        <w:t>е</w:t>
      </w:r>
      <w:r w:rsidRPr="00E164A5">
        <w:rPr>
          <w:szCs w:val="20"/>
        </w:rPr>
        <w:t>. Полученные результаты не являются финальными и абсолютными, однако они могут стать как отправной точкой для других исследователей в этой области, так и фундаментом для моих дальнейших исследований</w:t>
      </w:r>
      <w:r w:rsidR="00AC4C18" w:rsidRPr="00E164A5">
        <w:rPr>
          <w:szCs w:val="20"/>
        </w:rPr>
        <w:t>, перспективные направления которых также выделены в рамках работы</w:t>
      </w:r>
      <w:r w:rsidRPr="00E164A5">
        <w:rPr>
          <w:szCs w:val="20"/>
        </w:rPr>
        <w:t>.</w:t>
      </w:r>
    </w:p>
    <w:p w:rsidR="00010D14" w:rsidRPr="00E164A5" w:rsidRDefault="00010D14">
      <w:pPr>
        <w:pStyle w:val="ac"/>
      </w:pPr>
      <w:r w:rsidRPr="00E164A5">
        <w:t>Литература</w:t>
      </w:r>
    </w:p>
    <w:p w:rsidR="002502A4" w:rsidRPr="00E164A5" w:rsidRDefault="002502A4" w:rsidP="002502A4">
      <w:pPr>
        <w:pStyle w:val="Bibliography1"/>
        <w:ind w:left="369"/>
      </w:pPr>
    </w:p>
    <w:p w:rsidR="00427A79" w:rsidRPr="00E164A5" w:rsidRDefault="00427A79" w:rsidP="00427A79">
      <w:pPr>
        <w:pStyle w:val="Bibliography1"/>
        <w:numPr>
          <w:ilvl w:val="0"/>
          <w:numId w:val="3"/>
        </w:numPr>
        <w:rPr>
          <w:lang w:val="en-US"/>
        </w:rPr>
      </w:pPr>
      <w:r w:rsidRPr="00E164A5">
        <w:rPr>
          <w:lang w:val="en-US"/>
        </w:rPr>
        <w:t>N. Mimura, K. Yasuhara, S. Kawagoe, H. Yokoki, and S. Kazama, “Damage from the Great East Japan Earthquake and Tsunami - A quick report,” Mitigation and Adaptation Strategies for Global Change, vol. 16(7), pp. 803–818, 2011.</w:t>
      </w:r>
    </w:p>
    <w:p w:rsidR="002502A4" w:rsidRPr="00E164A5" w:rsidRDefault="002502A4" w:rsidP="002502A4">
      <w:pPr>
        <w:pStyle w:val="Bibliography1"/>
        <w:numPr>
          <w:ilvl w:val="0"/>
          <w:numId w:val="3"/>
        </w:numPr>
        <w:rPr>
          <w:lang w:val="en-US"/>
        </w:rPr>
      </w:pPr>
      <w:r w:rsidRPr="00E164A5">
        <w:rPr>
          <w:lang w:val="en-US"/>
        </w:rPr>
        <w:t>R. Geller, “Earthquake prediction: a critical review,” Geophysical Journal International, vol. 131, pp. 425–450, 2007.</w:t>
      </w:r>
    </w:p>
    <w:p w:rsidR="00FF6DAF" w:rsidRPr="00E164A5" w:rsidRDefault="00FF6DAF" w:rsidP="00FF6DAF">
      <w:pPr>
        <w:pStyle w:val="Bibliography1"/>
        <w:numPr>
          <w:ilvl w:val="0"/>
          <w:numId w:val="3"/>
        </w:numPr>
        <w:rPr>
          <w:lang w:val="en-US"/>
        </w:rPr>
      </w:pPr>
      <w:r w:rsidRPr="00E164A5">
        <w:rPr>
          <w:lang w:val="en-US"/>
        </w:rPr>
        <w:t>D. D. Jackson, “Hypothesis testing and earthquake prediction,” Proc. Natl. Aca. Sci. USA, vol. 93, pp. 3772–3775, 1996.</w:t>
      </w:r>
    </w:p>
    <w:p w:rsidR="00E66FD9" w:rsidRPr="00E164A5" w:rsidRDefault="00AC4C18" w:rsidP="00AE0D62">
      <w:pPr>
        <w:pStyle w:val="af3"/>
        <w:numPr>
          <w:ilvl w:val="0"/>
          <w:numId w:val="3"/>
        </w:numPr>
        <w:rPr>
          <w:rFonts w:cs="Lohit Hindi"/>
          <w:sz w:val="20"/>
          <w:szCs w:val="24"/>
          <w:lang w:val="en-US"/>
        </w:rPr>
      </w:pPr>
      <w:r w:rsidRPr="00E164A5">
        <w:rPr>
          <w:rFonts w:cs="Lohit Hindi"/>
          <w:sz w:val="20"/>
          <w:szCs w:val="24"/>
          <w:lang w:val="en-US"/>
        </w:rPr>
        <w:t>F. Martínez-Álvarez, A. Morales-Esteban, and J. Reyes, “Neural networks to predict earthquakes in Chile,” Applied Soft Computing, vol. 13, pp. 1314-1328, 2013.</w:t>
      </w:r>
    </w:p>
    <w:p w:rsidR="00E66FD9" w:rsidRPr="00E164A5" w:rsidRDefault="00AC4C18" w:rsidP="00AC4C18">
      <w:pPr>
        <w:pStyle w:val="af3"/>
        <w:numPr>
          <w:ilvl w:val="0"/>
          <w:numId w:val="3"/>
        </w:numPr>
        <w:rPr>
          <w:rFonts w:cs="Lohit Hindi"/>
          <w:sz w:val="20"/>
          <w:szCs w:val="24"/>
          <w:lang w:val="en-US"/>
        </w:rPr>
      </w:pPr>
      <w:r w:rsidRPr="00E164A5">
        <w:rPr>
          <w:rFonts w:cs="Lohit Hindi"/>
          <w:sz w:val="20"/>
          <w:szCs w:val="24"/>
          <w:lang w:val="en-US"/>
        </w:rPr>
        <w:t>K. Asim, A. Idris, T. Iqbal, and F. Martínez-Álvarez, “Seismic indicators based earthquake predictor system using Genetic Programming and AdaBoost classification,” Soil Dynamics and Earthquake Engineering, vol. 111, pp. 1–7, 2018.</w:t>
      </w:r>
    </w:p>
    <w:p w:rsidR="00C76AE6" w:rsidRPr="00E164A5" w:rsidRDefault="00C76AE6" w:rsidP="00C76AE6">
      <w:pPr>
        <w:pStyle w:val="af3"/>
        <w:numPr>
          <w:ilvl w:val="0"/>
          <w:numId w:val="3"/>
        </w:numPr>
        <w:rPr>
          <w:rFonts w:cs="Lohit Hindi"/>
          <w:sz w:val="20"/>
          <w:szCs w:val="24"/>
          <w:lang w:val="en-US"/>
        </w:rPr>
      </w:pPr>
      <w:r w:rsidRPr="00E164A5">
        <w:rPr>
          <w:rFonts w:cs="Lohit Hindi"/>
          <w:sz w:val="20"/>
          <w:szCs w:val="24"/>
          <w:lang w:val="en-US"/>
        </w:rPr>
        <w:t>A. Panakkat, and H. Adeli, “Neural network models for earthquake magnitude prediction using multiple seismicity indicators,” International Journal of Neural Systems, vol. 17(1), pp. 13–33, 2007.</w:t>
      </w:r>
    </w:p>
    <w:p w:rsidR="00AC4C18" w:rsidRPr="00E164A5" w:rsidRDefault="00C76AE6" w:rsidP="00C76AE6">
      <w:pPr>
        <w:pStyle w:val="af3"/>
        <w:numPr>
          <w:ilvl w:val="0"/>
          <w:numId w:val="3"/>
        </w:numPr>
        <w:rPr>
          <w:rFonts w:cs="Lohit Hindi"/>
          <w:sz w:val="20"/>
          <w:szCs w:val="24"/>
          <w:lang w:val="en-US"/>
        </w:rPr>
      </w:pPr>
      <w:r w:rsidRPr="00E164A5">
        <w:rPr>
          <w:rFonts w:cs="Lohit Hindi"/>
          <w:sz w:val="20"/>
          <w:szCs w:val="24"/>
          <w:lang w:val="en-US"/>
        </w:rPr>
        <w:t>H. Adeli, and A. Panakkat, “A probabilistic neural network for earthquake magnitude prediction,” Neural Networks, vol. 22(7), pp. 1018–1024, 2009.</w:t>
      </w:r>
    </w:p>
    <w:p w:rsidR="00D2491A" w:rsidRPr="00E164A5" w:rsidRDefault="006D6238" w:rsidP="006D6238">
      <w:pPr>
        <w:pStyle w:val="af3"/>
        <w:numPr>
          <w:ilvl w:val="0"/>
          <w:numId w:val="3"/>
        </w:numPr>
        <w:rPr>
          <w:rFonts w:cs="Lohit Hindi"/>
          <w:sz w:val="20"/>
          <w:szCs w:val="24"/>
          <w:lang w:val="en-US"/>
        </w:rPr>
      </w:pPr>
      <w:r w:rsidRPr="00E164A5">
        <w:rPr>
          <w:rFonts w:cs="Lohit Hindi"/>
          <w:sz w:val="20"/>
          <w:szCs w:val="24"/>
          <w:lang w:val="en-US"/>
        </w:rPr>
        <w:t>G. Cortés, A. Morales-Esteban, X. Shang, and F. Martínez-Álvarez, “Earthquake prediction in California using regression algorithms and cloud-based big data infrastructure,” Computers &amp; Geosciences, vol. 115, pp. 198-210, 2018.</w:t>
      </w:r>
    </w:p>
    <w:p w:rsidR="006D6238" w:rsidRPr="00E164A5" w:rsidRDefault="00D2491A" w:rsidP="00E65812">
      <w:pPr>
        <w:pStyle w:val="af3"/>
        <w:numPr>
          <w:ilvl w:val="0"/>
          <w:numId w:val="3"/>
        </w:numPr>
        <w:rPr>
          <w:rFonts w:cs="Lohit Hindi"/>
          <w:sz w:val="20"/>
          <w:szCs w:val="24"/>
          <w:lang w:val="en-US"/>
        </w:rPr>
      </w:pPr>
      <w:r w:rsidRPr="00E164A5">
        <w:rPr>
          <w:rFonts w:cs="Lohit Hindi"/>
          <w:sz w:val="20"/>
          <w:szCs w:val="24"/>
          <w:lang w:val="en-US"/>
        </w:rPr>
        <w:lastRenderedPageBreak/>
        <w:t>A. Galkina, and N.</w:t>
      </w:r>
      <w:r w:rsidR="00C76AE6" w:rsidRPr="00E164A5">
        <w:rPr>
          <w:rFonts w:cs="Lohit Hindi"/>
          <w:sz w:val="20"/>
          <w:szCs w:val="24"/>
          <w:lang w:val="en-US"/>
        </w:rPr>
        <w:t xml:space="preserve"> Grafeeva, "Machine </w:t>
      </w:r>
      <w:r w:rsidRPr="00E164A5">
        <w:rPr>
          <w:rFonts w:cs="Lohit Hindi"/>
          <w:sz w:val="20"/>
          <w:szCs w:val="24"/>
          <w:lang w:val="en-US"/>
        </w:rPr>
        <w:t>l</w:t>
      </w:r>
      <w:r w:rsidR="00C76AE6" w:rsidRPr="00E164A5">
        <w:rPr>
          <w:rFonts w:cs="Lohit Hindi"/>
          <w:sz w:val="20"/>
          <w:szCs w:val="24"/>
          <w:lang w:val="en-US"/>
        </w:rPr>
        <w:t xml:space="preserve">earning </w:t>
      </w:r>
      <w:r w:rsidRPr="00E164A5">
        <w:rPr>
          <w:rFonts w:cs="Lohit Hindi"/>
          <w:sz w:val="20"/>
          <w:szCs w:val="24"/>
          <w:lang w:val="en-US"/>
        </w:rPr>
        <w:t>m</w:t>
      </w:r>
      <w:r w:rsidR="00C76AE6" w:rsidRPr="00E164A5">
        <w:rPr>
          <w:rFonts w:cs="Lohit Hindi"/>
          <w:sz w:val="20"/>
          <w:szCs w:val="24"/>
          <w:lang w:val="en-US"/>
        </w:rPr>
        <w:t xml:space="preserve">ethods for </w:t>
      </w:r>
      <w:r w:rsidRPr="00E164A5">
        <w:rPr>
          <w:rFonts w:cs="Lohit Hindi"/>
          <w:sz w:val="20"/>
          <w:szCs w:val="24"/>
          <w:lang w:val="en-US"/>
        </w:rPr>
        <w:t>e</w:t>
      </w:r>
      <w:r w:rsidR="00C76AE6" w:rsidRPr="00E164A5">
        <w:rPr>
          <w:rFonts w:cs="Lohit Hindi"/>
          <w:sz w:val="20"/>
          <w:szCs w:val="24"/>
          <w:lang w:val="en-US"/>
        </w:rPr>
        <w:t xml:space="preserve">arthquake </w:t>
      </w:r>
      <w:r w:rsidRPr="00E164A5">
        <w:rPr>
          <w:rFonts w:cs="Lohit Hindi"/>
          <w:sz w:val="20"/>
          <w:szCs w:val="24"/>
          <w:lang w:val="en-US"/>
        </w:rPr>
        <w:t>p</w:t>
      </w:r>
      <w:r w:rsidR="00C76AE6" w:rsidRPr="00E164A5">
        <w:rPr>
          <w:rFonts w:cs="Lohit Hindi"/>
          <w:sz w:val="20"/>
          <w:szCs w:val="24"/>
          <w:lang w:val="en-US"/>
        </w:rPr>
        <w:t xml:space="preserve">rediction: a </w:t>
      </w:r>
      <w:r w:rsidRPr="00E164A5">
        <w:rPr>
          <w:rFonts w:cs="Lohit Hindi"/>
          <w:sz w:val="20"/>
          <w:szCs w:val="24"/>
          <w:lang w:val="en-US"/>
        </w:rPr>
        <w:t>s</w:t>
      </w:r>
      <w:r w:rsidR="00C76AE6" w:rsidRPr="00E164A5">
        <w:rPr>
          <w:rFonts w:cs="Lohit Hindi"/>
          <w:sz w:val="20"/>
          <w:szCs w:val="24"/>
          <w:lang w:val="en-US"/>
        </w:rPr>
        <w:t xml:space="preserve">urvey", </w:t>
      </w:r>
      <w:r w:rsidR="003D09A2" w:rsidRPr="00E164A5">
        <w:rPr>
          <w:rFonts w:cs="Lohit Hindi"/>
          <w:sz w:val="20"/>
          <w:szCs w:val="24"/>
          <w:lang w:val="en-US"/>
        </w:rPr>
        <w:t>CEUR Workshop Proceedings, vol. 2372</w:t>
      </w:r>
      <w:r w:rsidRPr="00E164A5">
        <w:rPr>
          <w:rFonts w:cs="Lohit Hindi"/>
          <w:sz w:val="20"/>
          <w:szCs w:val="24"/>
          <w:lang w:val="en-US"/>
        </w:rPr>
        <w:t xml:space="preserve">, pp.25-32, </w:t>
      </w:r>
      <w:r w:rsidR="00C76AE6" w:rsidRPr="00E164A5">
        <w:rPr>
          <w:rFonts w:cs="Lohit Hindi"/>
          <w:sz w:val="20"/>
          <w:szCs w:val="24"/>
          <w:lang w:val="en-US"/>
        </w:rPr>
        <w:t>2019.</w:t>
      </w:r>
    </w:p>
    <w:sectPr w:rsidR="006D6238" w:rsidRPr="00E164A5" w:rsidSect="007E28D6"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5B2" w:rsidRDefault="003925B2">
      <w:r>
        <w:separator/>
      </w:r>
    </w:p>
  </w:endnote>
  <w:endnote w:type="continuationSeparator" w:id="1">
    <w:p w:rsidR="003925B2" w:rsidRDefault="00392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5B2" w:rsidRDefault="003925B2">
      <w:r>
        <w:separator/>
      </w:r>
    </w:p>
  </w:footnote>
  <w:footnote w:type="continuationSeparator" w:id="1">
    <w:p w:rsidR="003925B2" w:rsidRDefault="003925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1CC0B46"/>
    <w:multiLevelType w:val="hybridMultilevel"/>
    <w:tmpl w:val="4FF0FA2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271103AC"/>
    <w:multiLevelType w:val="hybridMultilevel"/>
    <w:tmpl w:val="24B46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063A0"/>
    <w:multiLevelType w:val="hybridMultilevel"/>
    <w:tmpl w:val="5DDAF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D28ED"/>
    <w:multiLevelType w:val="hybridMultilevel"/>
    <w:tmpl w:val="82B6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C59DC"/>
    <w:rsid w:val="00010D14"/>
    <w:rsid w:val="00022BD8"/>
    <w:rsid w:val="00036F2A"/>
    <w:rsid w:val="00047DBA"/>
    <w:rsid w:val="00073733"/>
    <w:rsid w:val="000777EC"/>
    <w:rsid w:val="00195004"/>
    <w:rsid w:val="0019699B"/>
    <w:rsid w:val="00203B3A"/>
    <w:rsid w:val="002106C8"/>
    <w:rsid w:val="00221704"/>
    <w:rsid w:val="002502A4"/>
    <w:rsid w:val="0025244D"/>
    <w:rsid w:val="00271811"/>
    <w:rsid w:val="0027602B"/>
    <w:rsid w:val="00281ABF"/>
    <w:rsid w:val="002A1DA3"/>
    <w:rsid w:val="002E068E"/>
    <w:rsid w:val="00316378"/>
    <w:rsid w:val="003164BD"/>
    <w:rsid w:val="00322182"/>
    <w:rsid w:val="003925B2"/>
    <w:rsid w:val="003D09A2"/>
    <w:rsid w:val="00425E59"/>
    <w:rsid w:val="00427A79"/>
    <w:rsid w:val="00456ADF"/>
    <w:rsid w:val="0047632D"/>
    <w:rsid w:val="00484ABC"/>
    <w:rsid w:val="004C0E7E"/>
    <w:rsid w:val="004D0B1A"/>
    <w:rsid w:val="004D5ABB"/>
    <w:rsid w:val="004E246D"/>
    <w:rsid w:val="00553B42"/>
    <w:rsid w:val="005C59DC"/>
    <w:rsid w:val="005F225D"/>
    <w:rsid w:val="006D6238"/>
    <w:rsid w:val="006F5AA0"/>
    <w:rsid w:val="00752F34"/>
    <w:rsid w:val="00763A82"/>
    <w:rsid w:val="007E28D6"/>
    <w:rsid w:val="00876C43"/>
    <w:rsid w:val="008D470A"/>
    <w:rsid w:val="008F64AA"/>
    <w:rsid w:val="009470F9"/>
    <w:rsid w:val="00947ACC"/>
    <w:rsid w:val="009B4D04"/>
    <w:rsid w:val="00A1189F"/>
    <w:rsid w:val="00AB0591"/>
    <w:rsid w:val="00AC4C18"/>
    <w:rsid w:val="00AE0D62"/>
    <w:rsid w:val="00B91309"/>
    <w:rsid w:val="00BC2F68"/>
    <w:rsid w:val="00BD2124"/>
    <w:rsid w:val="00C647AA"/>
    <w:rsid w:val="00C72B4C"/>
    <w:rsid w:val="00C76AE6"/>
    <w:rsid w:val="00C77962"/>
    <w:rsid w:val="00CA3A51"/>
    <w:rsid w:val="00CC606E"/>
    <w:rsid w:val="00CF3AD0"/>
    <w:rsid w:val="00D204F3"/>
    <w:rsid w:val="00D2491A"/>
    <w:rsid w:val="00DE4427"/>
    <w:rsid w:val="00E164A5"/>
    <w:rsid w:val="00E2522C"/>
    <w:rsid w:val="00E41BBC"/>
    <w:rsid w:val="00E55F00"/>
    <w:rsid w:val="00E65812"/>
    <w:rsid w:val="00E66FD9"/>
    <w:rsid w:val="00EF211B"/>
    <w:rsid w:val="00F849F9"/>
    <w:rsid w:val="00F93179"/>
    <w:rsid w:val="00FF6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7AA"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rsid w:val="00C647AA"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rsid w:val="00C647AA"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rsid w:val="00C647AA"/>
    <w:pPr>
      <w:outlineLvl w:val="2"/>
    </w:pPr>
    <w:rPr>
      <w:rFonts w:eastAsia="SimSun" w:cs="Mangal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C647AA"/>
    <w:rPr>
      <w:color w:val="000080"/>
      <w:u w:val="single"/>
    </w:rPr>
  </w:style>
  <w:style w:type="character" w:customStyle="1" w:styleId="NumberingSymbols">
    <w:name w:val="Numbering Symbols"/>
    <w:rsid w:val="00C647AA"/>
  </w:style>
  <w:style w:type="character" w:customStyle="1" w:styleId="Bullets">
    <w:name w:val="Bullets"/>
    <w:rsid w:val="00C647AA"/>
    <w:rPr>
      <w:rFonts w:ascii="OpenSymbol" w:eastAsia="OpenSymbol" w:hAnsi="OpenSymbol" w:cs="OpenSymbol"/>
    </w:rPr>
  </w:style>
  <w:style w:type="character" w:customStyle="1" w:styleId="FootnoteCharacters">
    <w:name w:val="Footnote Characters"/>
    <w:rsid w:val="00C647AA"/>
  </w:style>
  <w:style w:type="character" w:styleId="a5">
    <w:name w:val="footnote reference"/>
    <w:rsid w:val="00C647AA"/>
    <w:rPr>
      <w:vertAlign w:val="superscript"/>
    </w:rPr>
  </w:style>
  <w:style w:type="character" w:styleId="a6">
    <w:name w:val="endnote reference"/>
    <w:rsid w:val="00C647AA"/>
    <w:rPr>
      <w:vertAlign w:val="superscript"/>
    </w:rPr>
  </w:style>
  <w:style w:type="character" w:customStyle="1" w:styleId="EndnoteCharacters">
    <w:name w:val="Endnote Characters"/>
    <w:rsid w:val="00C647AA"/>
  </w:style>
  <w:style w:type="paragraph" w:customStyle="1" w:styleId="Heading">
    <w:name w:val="Heading"/>
    <w:basedOn w:val="a"/>
    <w:next w:val="a0"/>
    <w:rsid w:val="00C647AA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rsid w:val="00C647A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  <w:rsid w:val="00C647AA"/>
  </w:style>
  <w:style w:type="paragraph" w:styleId="a8">
    <w:name w:val="caption"/>
    <w:basedOn w:val="a"/>
    <w:qFormat/>
    <w:rsid w:val="00C647A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C647AA"/>
    <w:pPr>
      <w:suppressLineNumbers/>
    </w:pPr>
  </w:style>
  <w:style w:type="paragraph" w:styleId="a9">
    <w:name w:val="footer"/>
    <w:basedOn w:val="a"/>
    <w:rsid w:val="00C647A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rsid w:val="00C647AA"/>
    <w:pPr>
      <w:spacing w:after="0"/>
      <w:ind w:left="283" w:firstLine="0"/>
    </w:pPr>
  </w:style>
  <w:style w:type="paragraph" w:customStyle="1" w:styleId="Abstract">
    <w:name w:val="Abstract"/>
    <w:basedOn w:val="a0"/>
    <w:rsid w:val="00C647AA"/>
    <w:pPr>
      <w:spacing w:after="0"/>
      <w:ind w:left="567" w:right="567"/>
    </w:pPr>
  </w:style>
  <w:style w:type="paragraph" w:styleId="ab">
    <w:name w:val="header"/>
    <w:basedOn w:val="a"/>
    <w:rsid w:val="00C647A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rsid w:val="00C647A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sid w:val="00C647A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rsid w:val="00C647AA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rsid w:val="00C647AA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rsid w:val="00C647AA"/>
    <w:pPr>
      <w:spacing w:after="120"/>
      <w:ind w:left="360" w:firstLine="0"/>
    </w:pPr>
  </w:style>
  <w:style w:type="paragraph" w:customStyle="1" w:styleId="TableContents">
    <w:name w:val="Table Contents"/>
    <w:basedOn w:val="a"/>
    <w:rsid w:val="00C647A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rsid w:val="00C647AA"/>
    <w:pPr>
      <w:suppressLineNumbers/>
    </w:pPr>
  </w:style>
  <w:style w:type="paragraph" w:customStyle="1" w:styleId="ae">
    <w:name w:val="Название Врезки"/>
    <w:basedOn w:val="a0"/>
    <w:next w:val="a0"/>
    <w:rsid w:val="00C647AA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  <w:rsid w:val="00C647AA"/>
  </w:style>
  <w:style w:type="paragraph" w:customStyle="1" w:styleId="af">
    <w:name w:val="Текст программы"/>
    <w:basedOn w:val="a0"/>
    <w:rsid w:val="00C647AA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rsid w:val="00C647AA"/>
    <w:pPr>
      <w:suppressLineNumbers/>
      <w:ind w:left="339" w:hanging="339"/>
    </w:pPr>
    <w:rPr>
      <w:sz w:val="18"/>
      <w:szCs w:val="20"/>
    </w:rPr>
  </w:style>
  <w:style w:type="paragraph" w:styleId="af1">
    <w:name w:val="No Spacing"/>
    <w:uiPriority w:val="1"/>
    <w:qFormat/>
    <w:rsid w:val="00FF6DAF"/>
    <w:rPr>
      <w:rFonts w:ascii="Calibri" w:eastAsia="Calibri" w:hAnsi="Calibri"/>
      <w:sz w:val="22"/>
      <w:szCs w:val="22"/>
      <w:lang w:eastAsia="en-US"/>
    </w:rPr>
  </w:style>
  <w:style w:type="table" w:styleId="af2">
    <w:name w:val="Table Grid"/>
    <w:basedOn w:val="a2"/>
    <w:uiPriority w:val="39"/>
    <w:rsid w:val="00DE44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E66FD9"/>
    <w:pPr>
      <w:ind w:left="720"/>
      <w:contextualSpacing/>
    </w:pPr>
    <w:rPr>
      <w:rFonts w:cs="Mangal"/>
      <w:szCs w:val="21"/>
    </w:rPr>
  </w:style>
  <w:style w:type="paragraph" w:styleId="af4">
    <w:name w:val="Normal (Web)"/>
    <w:basedOn w:val="a"/>
    <w:uiPriority w:val="99"/>
    <w:semiHidden/>
    <w:unhideWhenUsed/>
    <w:rsid w:val="00BC2F6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styleId="af5">
    <w:name w:val="Placeholder Text"/>
    <w:basedOn w:val="a1"/>
    <w:uiPriority w:val="99"/>
    <w:semiHidden/>
    <w:rsid w:val="00BC2F6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658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E65812"/>
    <w:rPr>
      <w:rFonts w:ascii="Courier New" w:hAnsi="Courier New" w:cs="Courier New"/>
    </w:rPr>
  </w:style>
  <w:style w:type="paragraph" w:styleId="af6">
    <w:name w:val="Balloon Text"/>
    <w:basedOn w:val="a"/>
    <w:link w:val="af7"/>
    <w:uiPriority w:val="99"/>
    <w:semiHidden/>
    <w:unhideWhenUsed/>
    <w:rsid w:val="004D0B1A"/>
    <w:rPr>
      <w:rFonts w:ascii="Tahoma" w:hAnsi="Tahoma" w:cs="Mangal"/>
      <w:sz w:val="16"/>
      <w:szCs w:val="14"/>
    </w:rPr>
  </w:style>
  <w:style w:type="character" w:customStyle="1" w:styleId="af7">
    <w:name w:val="Текст выноски Знак"/>
    <w:basedOn w:val="a1"/>
    <w:link w:val="af6"/>
    <w:uiPriority w:val="99"/>
    <w:semiHidden/>
    <w:rsid w:val="004D0B1A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rickman/benchmark-earthquake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3F87A-80B1-4B17-A745-054FF149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8</Pages>
  <Words>2233</Words>
  <Characters>12732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14936</CharactersWithSpaces>
  <SharedDoc>false</SharedDoc>
  <HLinks>
    <vt:vector size="6" baseType="variant">
      <vt:variant>
        <vt:i4>8126584</vt:i4>
      </vt:variant>
      <vt:variant>
        <vt:i4>0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cp:lastModifiedBy>GRAFEEVA</cp:lastModifiedBy>
  <cp:revision>12</cp:revision>
  <cp:lastPrinted>1899-12-31T21:00:00Z</cp:lastPrinted>
  <dcterms:created xsi:type="dcterms:W3CDTF">2019-06-10T07:07:00Z</dcterms:created>
  <dcterms:modified xsi:type="dcterms:W3CDTF">2020-12-10T09:57:00Z</dcterms:modified>
</cp:coreProperties>
</file>