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rPr>
          <w:color w:val="75041F"/>
        </w:rPr>
      </w:pPr>
      <w:r>
        <w:rPr>
          <w:color w:val="75041F"/>
        </w:rPr>
        <w:t>BC Bee Atlas</w:t>
      </w:r>
    </w:p>
    <w:p>
      <w:pPr>
        <w:pStyle w:val="Subtitle"/>
        <w:rPr/>
      </w:pPr>
      <w:r>
        <w:rPr/>
        <w:t>Provincial Report - 2024 Baseline data</w:t>
      </w:r>
    </w:p>
    <w:p>
      <w:pPr>
        <w:pStyle w:val="Date"/>
        <w:rPr/>
      </w:pPr>
      <w:r>
        <w:rPr/>
        <w:t>2025-12-27</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suppressAutoHyphens w:val="true"/>
              <w:spacing w:before="0" w:after="200"/>
              <w:jc w:val="center"/>
              <w:rPr>
                <w:rFonts w:ascii="Cambria" w:hAnsi="Cambria" w:eastAsia="Cambria" w:cs=""/>
                <w:kern w:val="0"/>
                <w:sz w:val="24"/>
                <w:szCs w:val="24"/>
                <w:lang w:val="en-US" w:eastAsia="en-US" w:bidi="ar-SA"/>
              </w:rPr>
            </w:pPr>
            <w:r>
              <w:rPr>
                <w:sz w:val="24"/>
              </w:rPr>
              <w:drawing>
                <wp:inline distT="0" distB="0" distL="0" distR="0">
                  <wp:extent cx="2743200" cy="255714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2743200" cy="2557145"/>
                          </a:xfrm>
                          <a:prstGeom prst="rect">
                            <a:avLst/>
                          </a:prstGeom>
                        </pic:spPr>
                      </pic:pic>
                    </a:graphicData>
                  </a:graphic>
                </wp:inline>
              </w:drawing>
            </w:r>
          </w:p>
          <w:p>
            <w:pPr>
              <w:pStyle w:val="ImageCaption"/>
              <w:widowControl w:val="false"/>
              <w:suppressAutoHyphens w:val="true"/>
              <w:spacing w:before="200" w:after="12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enterH2"/>
        <w:rPr/>
      </w:pPr>
      <w:bookmarkStart w:id="0" w:name="__RefHeading___Toc1447_2326503461"/>
      <w:bookmarkEnd w:id="0"/>
      <w:r>
        <w:rPr/>
        <w:t>Prepared by:</w:t>
      </w:r>
    </w:p>
    <w:p>
      <w:pPr>
        <w:pStyle w:val="Centertext"/>
        <w:rPr/>
      </w:pPr>
      <w:r>
        <w:rPr/>
        <w:t>Bonnie Zand and Kath Quayle</w:t>
      </w:r>
    </w:p>
    <w:p>
      <w:pPr>
        <w:pStyle w:val="Centertext"/>
        <w:rPr/>
      </w:pPr>
      <w:r>
        <w:rPr/>
        <w:t>Native Bee Society of BC</w:t>
      </w:r>
    </w:p>
    <w:p>
      <w:pPr>
        <w:pStyle w:val="Centertext"/>
        <w:rPr/>
      </w:pPr>
      <w:r>
        <w:rPr/>
        <w:t>bcnativebees@gmail.coment</w:t>
      </w:r>
    </w:p>
    <w:p>
      <w:pPr>
        <w:pStyle w:val="CenterH2"/>
        <w:rPr/>
      </w:pPr>
      <w:bookmarkStart w:id="1" w:name="__RefHeading___Toc1449_2326503461"/>
      <w:bookmarkEnd w:id="1"/>
      <w:r>
        <w:rPr/>
        <w:t>Prepared for:</w:t>
      </w:r>
    </w:p>
    <w:p>
      <w:pPr>
        <w:pStyle w:val="FirstParagraph"/>
        <w:jc w:val="center"/>
        <w:rPr/>
      </w:pPr>
      <w:bookmarkStart w:id="2" w:name="prepared-for"/>
      <w:r>
        <w:rPr/>
        <w:t>Native Bee Society of BC</w:t>
      </w:r>
      <w:bookmarkEnd w:id="2"/>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suppressAutoHyphens w:val="true"/>
              <w:spacing w:before="0" w:after="200"/>
              <w:jc w:val="center"/>
              <w:rPr>
                <w:rFonts w:ascii="Cambria" w:hAnsi="Cambria" w:eastAsia="Cambria" w:cs=""/>
                <w:kern w:val="0"/>
                <w:sz w:val="24"/>
                <w:szCs w:val="24"/>
                <w:lang w:val="en-US" w:eastAsia="en-US" w:bidi="ar-SA"/>
              </w:rPr>
            </w:pPr>
            <w:r>
              <w:rPr>
                <w:sz w:val="24"/>
              </w:rPr>
              <w:drawing>
                <wp:inline distT="0" distB="0" distL="0" distR="0">
                  <wp:extent cx="914400" cy="8045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914400" cy="804545"/>
                          </a:xfrm>
                          <a:prstGeom prst="rect">
                            <a:avLst/>
                          </a:prstGeom>
                        </pic:spPr>
                      </pic:pic>
                    </a:graphicData>
                  </a:graphic>
                </wp:inline>
              </w:drawing>
            </w:r>
            <w:r>
              <w:rPr>
                <w:rFonts w:eastAsia="Cambria" w:cs=""/>
                <w:kern w:val="0"/>
                <w:sz w:val="24"/>
                <w:szCs w:val="24"/>
                <w:lang w:val="en-US" w:eastAsia="en-US" w:bidi="ar-SA"/>
              </w:rPr>
              <w:t xml:space="preserve"> </w:t>
            </w:r>
            <w:r>
              <w:rPr>
                <w:sz w:val="24"/>
              </w:rPr>
              <w:drawing>
                <wp:inline distT="0" distB="0" distL="0" distR="0">
                  <wp:extent cx="914400" cy="8642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914400" cy="864235"/>
                          </a:xfrm>
                          <a:prstGeom prst="rect">
                            <a:avLst/>
                          </a:prstGeom>
                        </pic:spPr>
                      </pic:pic>
                    </a:graphicData>
                  </a:graphic>
                </wp:inline>
              </w:drawing>
            </w:r>
          </w:p>
        </w:tc>
      </w:tr>
    </w:tbl>
    <w:p>
      <w:pPr>
        <w:pStyle w:val="Normal"/>
        <w:rPr/>
      </w:pPr>
      <w:r>
        <w:rPr/>
      </w:r>
      <w:r>
        <w:br w:type="page"/>
      </w:r>
    </w:p>
    <w:p>
      <w:pPr>
        <w:pStyle w:val="ContentsHeading"/>
        <w:rPr/>
      </w:pPr>
      <w:bookmarkStart w:id="3" w:name="__RefHeading___Toc1451_2326503461"/>
      <w:bookmarkStart w:id="4" w:name="acknowledgements"/>
      <w:bookmarkEnd w:id="3"/>
      <w:r>
        <w:rPr/>
        <w:t>Acknowledgments</w:t>
      </w:r>
    </w:p>
    <w:p>
      <w:pPr>
        <w:pStyle w:val="FirstParagraph"/>
        <w:rPr/>
      </w:pPr>
      <w:r>
        <w:rPr/>
        <w:t>This report was prepared by the Native Bee Society of BC for the City of North Vancouver Engineering, Parks &amp; Environment Department in partnership with the Oregon State University Extension Service Master Melittologist Program.</w:t>
      </w:r>
    </w:p>
    <w:p>
      <w:pPr>
        <w:pStyle w:val="TextBody"/>
        <w:rPr/>
      </w:pPr>
      <w:r>
        <w:rPr/>
        <w:t>Project work was led by Bonnie Zand with contributions from Paula Cruise and Christine Thuring. Lincoln Best and Valerie Huff played an advisory role.</w:t>
      </w:r>
    </w:p>
    <w:p>
      <w:pPr>
        <w:pStyle w:val="TextBody"/>
        <w:rPr/>
      </w:pPr>
      <w:r>
        <w:rPr/>
        <w:t>Richard Parker and Lianne Shyry from the City of North Vancouver oversaw the contract and provided permits and guidance on survey areas and priorities.</w:t>
      </w:r>
    </w:p>
    <w:p>
      <w:pPr>
        <w:pStyle w:val="TextBody"/>
        <w:rPr/>
      </w:pPr>
      <w:r>
        <w:rPr/>
        <w:t>Volunteer training and collection protocols were provided, label printing and data management were provided by the OSU Master Melittologist Program.</w:t>
      </w:r>
    </w:p>
    <w:p>
      <w:pPr>
        <w:pStyle w:val="TextBody"/>
        <w:rPr/>
      </w:pPr>
      <w:r>
        <w:rPr/>
        <w:t>Project report prepared by Bonnie Zand and Kath Quayle. Bonnie Zand provided species lists, data analysis and interpretation for the City of North Vancouver Data. Kath Quayle provided baseline data from the public record and bee-pant associations from iNaturalist. Specimen identifications were provided by Bonnie Zand.</w:t>
      </w:r>
    </w:p>
    <w:p>
      <w:pPr>
        <w:pStyle w:val="TextBody"/>
        <w:rPr/>
      </w:pPr>
      <w:r>
        <w:rPr/>
        <w:t>The Oregon Bee Atlas and Master Melittologist Program provided training, protocols and data management</w:t>
      </w:r>
    </w:p>
    <w:p>
      <w:pPr>
        <w:pStyle w:val="Compact"/>
        <w:numPr>
          <w:ilvl w:val="0"/>
          <w:numId w:val="1"/>
        </w:numPr>
        <w:rPr/>
      </w:pPr>
      <w:r>
        <w:rPr/>
        <w:t>Automated specimen data pipeline (Andony Melathopoulos, Lincoln Best and Myles Scholz, OSU)</w:t>
      </w:r>
    </w:p>
    <w:p>
      <w:pPr>
        <w:pStyle w:val="Compact"/>
        <w:numPr>
          <w:ilvl w:val="0"/>
          <w:numId w:val="1"/>
        </w:numPr>
        <w:rPr/>
      </w:pPr>
      <w:r>
        <w:rPr/>
        <w:t>Specimen data production (Cassidy Carpenter and Anne Watts, OSU)</w:t>
      </w:r>
    </w:p>
    <w:p>
      <w:pPr>
        <w:pStyle w:val="Compact"/>
        <w:numPr>
          <w:ilvl w:val="0"/>
          <w:numId w:val="1"/>
        </w:numPr>
        <w:rPr/>
      </w:pPr>
      <w:r>
        <w:rPr/>
        <w:t>Label production (Cassidy Carpenter and Anne Watts, OSU)</w:t>
      </w:r>
    </w:p>
    <w:p>
      <w:pPr>
        <w:pStyle w:val="FirstParagraph"/>
        <w:rPr/>
      </w:pPr>
      <w:r>
        <w:rPr/>
        <w:t>INat and specimen data management and curation (Lincoln Best, OSU) Data collection, specimen prep and labelling were provided by volunteers from the OSU Master Melittologist Program:</w:t>
      </w:r>
    </w:p>
    <w:p>
      <w:pPr>
        <w:pStyle w:val="Compact"/>
        <w:numPr>
          <w:ilvl w:val="0"/>
          <w:numId w:val="13"/>
        </w:numPr>
        <w:rPr/>
      </w:pPr>
      <w:r>
        <w:rPr/>
        <w:t>AC Quinn</w:t>
      </w:r>
    </w:p>
    <w:p>
      <w:pPr>
        <w:pStyle w:val="Compact"/>
        <w:numPr>
          <w:ilvl w:val="0"/>
          <w:numId w:val="14"/>
        </w:numPr>
        <w:rPr/>
      </w:pPr>
      <w:r>
        <w:rPr/>
        <w:t>Jane Lakes</w:t>
      </w:r>
    </w:p>
    <w:p>
      <w:pPr>
        <w:pStyle w:val="Compact"/>
        <w:numPr>
          <w:ilvl w:val="0"/>
          <w:numId w:val="15"/>
        </w:numPr>
        <w:rPr/>
      </w:pPr>
      <w:r>
        <w:rPr/>
        <w:t>Bonnie Zand</w:t>
      </w:r>
    </w:p>
    <w:p>
      <w:pPr>
        <w:pStyle w:val="Compact"/>
        <w:numPr>
          <w:ilvl w:val="0"/>
          <w:numId w:val="16"/>
        </w:numPr>
        <w:rPr/>
      </w:pPr>
      <w:r>
        <w:rPr/>
        <w:t>Elizabeth Hudgins</w:t>
      </w:r>
    </w:p>
    <w:p>
      <w:pPr>
        <w:pStyle w:val="Compact"/>
        <w:numPr>
          <w:ilvl w:val="0"/>
          <w:numId w:val="17"/>
        </w:numPr>
        <w:rPr/>
      </w:pPr>
      <w:r>
        <w:rPr/>
        <w:t>Jackson MacPherson</w:t>
      </w:r>
    </w:p>
    <w:p>
      <w:pPr>
        <w:pStyle w:val="Compact"/>
        <w:numPr>
          <w:ilvl w:val="0"/>
          <w:numId w:val="18"/>
        </w:numPr>
        <w:rPr/>
      </w:pPr>
      <w:r>
        <w:rPr/>
        <w:t>Paula Cruise</w:t>
      </w:r>
    </w:p>
    <w:p>
      <w:pPr>
        <w:pStyle w:val="Compact"/>
        <w:numPr>
          <w:ilvl w:val="0"/>
          <w:numId w:val="19"/>
        </w:numPr>
        <w:rPr/>
      </w:pPr>
      <w:r>
        <w:rPr/>
        <w:t>Lila Herzog</w:t>
      </w:r>
    </w:p>
    <w:p>
      <w:pPr>
        <w:pStyle w:val="Compact"/>
        <w:numPr>
          <w:ilvl w:val="0"/>
          <w:numId w:val="20"/>
        </w:numPr>
        <w:rPr/>
      </w:pPr>
      <w:r>
        <w:rPr/>
        <w:t>Christine Bickson</w:t>
      </w:r>
    </w:p>
    <w:p>
      <w:pPr>
        <w:pStyle w:val="Compact"/>
        <w:numPr>
          <w:ilvl w:val="0"/>
          <w:numId w:val="21"/>
        </w:numPr>
        <w:rPr/>
      </w:pPr>
      <w:r>
        <w:rPr/>
        <w:t>Kath Quayle</w:t>
      </w:r>
    </w:p>
    <w:p>
      <w:pPr>
        <w:pStyle w:val="Compact"/>
        <w:numPr>
          <w:ilvl w:val="0"/>
          <w:numId w:val="22"/>
        </w:numPr>
        <w:rPr/>
      </w:pPr>
      <w:r>
        <w:rPr/>
        <w:t>Kristen Penhall</w:t>
      </w:r>
    </w:p>
    <w:p>
      <w:pPr>
        <w:pStyle w:val="FirstParagraph"/>
        <w:rPr/>
      </w:pPr>
      <w:r>
        <w:rPr/>
        <w:t>Cover Photo: Bombus flavifrons: Yellow-fronted bumble bee. © Lori Weidenhammer All other photos by Bonnie Zand</w:t>
      </w:r>
    </w:p>
    <w:sdt>
      <w:sdtPr>
        <w:docPartObj>
          <w:docPartGallery w:val="Table of Contents"/>
          <w:docPartUnique w:val="true"/>
        </w:docPartObj>
      </w:sdtPr>
      <w:sdtContent>
        <w:p>
          <w:pPr>
            <w:pStyle w:val="Heading2"/>
            <w:keepNext w:val="true"/>
            <w:keepLines/>
            <w:spacing w:before="200" w:after="0"/>
            <w:jc w:val="left"/>
            <w:rPr>
              <w:rFonts w:ascii="Calibri" w:hAnsi="Calibri" w:eastAsia="" w:cs="" w:asciiTheme="majorHAnsi" w:cstheme="majorBidi" w:eastAsiaTheme="majorEastAsia" w:hAnsiTheme="majorHAnsi"/>
              <w:b/>
              <w:b/>
              <w:bCs/>
              <w:color w:val="75041F"/>
              <w:sz w:val="28"/>
              <w:szCs w:val="28"/>
            </w:rPr>
          </w:pPr>
          <w:bookmarkStart w:id="5" w:name="table-of-contents"/>
          <w:r>
            <w:rPr>
              <w:rFonts w:eastAsia="" w:cs="" w:cstheme="majorBidi" w:eastAsiaTheme="majorEastAsia"/>
              <w:b/>
              <w:bCs/>
              <w:color w:val="75041F"/>
              <w:sz w:val="28"/>
              <w:szCs w:val="28"/>
            </w:rPr>
            <w:t>Table of Contents</w:t>
          </w:r>
        </w:p>
        <w:p>
          <w:pPr>
            <w:pStyle w:val="Contents2"/>
            <w:tabs>
              <w:tab w:val="clear" w:pos="9077"/>
              <w:tab w:val="right" w:pos="9360" w:leader="dot"/>
            </w:tabs>
            <w:rPr/>
          </w:pPr>
          <w:r>
            <w:fldChar w:fldCharType="begin"/>
          </w:r>
          <w:r>
            <w:rPr>
              <w:rStyle w:val="IndexLink"/>
            </w:rPr>
            <w:instrText xml:space="preserve"> TOC \f \o "1-9" \h</w:instrText>
          </w:r>
          <w:r>
            <w:rPr>
              <w:rStyle w:val="IndexLink"/>
            </w:rPr>
            <w:fldChar w:fldCharType="separate"/>
          </w:r>
          <w:hyperlink w:anchor="__RefHeading___Toc1447_2326503461">
            <w:r>
              <w:rPr>
                <w:rStyle w:val="IndexLink"/>
              </w:rPr>
              <w:t>Prepared by:</w:t>
              <w:tab/>
              <w:t>1</w:t>
            </w:r>
          </w:hyperlink>
        </w:p>
        <w:p>
          <w:pPr>
            <w:pStyle w:val="Contents2"/>
            <w:tabs>
              <w:tab w:val="clear" w:pos="9077"/>
              <w:tab w:val="right" w:pos="9360" w:leader="dot"/>
            </w:tabs>
            <w:rPr/>
          </w:pPr>
          <w:hyperlink w:anchor="__RefHeading___Toc1449_2326503461">
            <w:r>
              <w:rPr>
                <w:rStyle w:val="IndexLink"/>
              </w:rPr>
              <w:t>Prepared for:</w:t>
              <w:tab/>
              <w:t>1</w:t>
            </w:r>
          </w:hyperlink>
        </w:p>
        <w:p>
          <w:pPr>
            <w:pStyle w:val="Contents1"/>
            <w:rPr/>
          </w:pPr>
          <w:hyperlink w:anchor="__RefHeading___Toc1451_2326503461">
            <w:r>
              <w:rPr>
                <w:rStyle w:val="IndexLink"/>
              </w:rPr>
              <w:t>Acknowledgements</w:t>
              <w:tab/>
              <w:t>2</w:t>
            </w:r>
          </w:hyperlink>
        </w:p>
        <w:p>
          <w:pPr>
            <w:pStyle w:val="Contents2"/>
            <w:tabs>
              <w:tab w:val="clear" w:pos="9077"/>
              <w:tab w:val="right" w:pos="9360" w:leader="dot"/>
            </w:tabs>
            <w:rPr/>
          </w:pPr>
          <w:hyperlink w:anchor="__RefHeading___Toc1453_2326503461">
            <w:r>
              <w:rPr>
                <w:rStyle w:val="IndexLink"/>
              </w:rPr>
              <w:t>Table of contents</w:t>
              <w:tab/>
              <w:t>3</w:t>
            </w:r>
          </w:hyperlink>
        </w:p>
        <w:p>
          <w:pPr>
            <w:pStyle w:val="Contents1"/>
            <w:rPr/>
          </w:pPr>
          <w:hyperlink w:anchor="__RefHeading___Toc1455_2326503461">
            <w:r>
              <w:rPr>
                <w:rStyle w:val="IndexLink"/>
              </w:rPr>
              <w:t>Executive Summary</w:t>
              <w:tab/>
              <w:t>3</w:t>
            </w:r>
          </w:hyperlink>
        </w:p>
        <w:p>
          <w:pPr>
            <w:pStyle w:val="Contents1"/>
            <w:rPr/>
          </w:pPr>
          <w:hyperlink w:anchor="__RefHeading___Toc1457_2326503461">
            <w:r>
              <w:rPr>
                <w:rStyle w:val="IndexLink"/>
              </w:rPr>
              <w:t>Description of project</w:t>
              <w:tab/>
              <w:t>3</w:t>
            </w:r>
          </w:hyperlink>
        </w:p>
        <w:p>
          <w:pPr>
            <w:pStyle w:val="Contents1"/>
            <w:rPr/>
          </w:pPr>
          <w:hyperlink w:anchor="__RefHeading___Toc1459_2326503461">
            <w:r>
              <w:rPr>
                <w:rStyle w:val="IndexLink"/>
              </w:rPr>
              <w:t>BC Bee Atlas Survey Methods</w:t>
              <w:tab/>
              <w:t>4</w:t>
            </w:r>
          </w:hyperlink>
        </w:p>
        <w:p>
          <w:pPr>
            <w:pStyle w:val="Contents1"/>
            <w:rPr/>
          </w:pPr>
          <w:hyperlink w:anchor="__RefHeading___Toc1461_2326503461">
            <w:r>
              <w:rPr>
                <w:rStyle w:val="IndexLink"/>
              </w:rPr>
              <w:t>BC Bee Atlas Survey Results</w:t>
              <w:tab/>
              <w:t>4</w:t>
            </w:r>
          </w:hyperlink>
          <w:r>
            <w:rPr>
              <w:rStyle w:val="IndexLink"/>
            </w:rPr>
            <w:fldChar w:fldCharType="end"/>
          </w:r>
        </w:p>
      </w:sdtContent>
    </w:sdt>
    <w:p>
      <w:pPr>
        <w:pStyle w:val="FirstParagraph"/>
        <w:rPr/>
      </w:pPr>
      <w:r>
        <w:rPr/>
      </w:r>
    </w:p>
    <w:p>
      <w:pPr>
        <w:pStyle w:val="TextBody"/>
        <w:rPr/>
      </w:pPr>
      <w:r>
        <w:rPr/>
        <w:t xml:space="preserve">Quarto enables you to weave together content and executable code into a finished document. To learn more about Quarto see </w:t>
      </w:r>
      <w:hyperlink r:id="rId5">
        <w:r>
          <w:rPr>
            <w:rStyle w:val="InternetLink"/>
          </w:rPr>
          <w:t>https://quarto.org</w:t>
        </w:r>
      </w:hyperlink>
      <w:r>
        <w:rPr/>
        <w:t>.</w:t>
      </w:r>
      <w:bookmarkEnd w:id="4"/>
      <w:bookmarkEnd w:id="5"/>
    </w:p>
    <w:p>
      <w:pPr>
        <w:pStyle w:val="Heading1"/>
        <w:rPr/>
      </w:pPr>
      <w:bookmarkStart w:id="6" w:name="__RefHeading___Toc1455_2326503461"/>
      <w:bookmarkEnd w:id="6"/>
      <w:r>
        <w:rPr/>
        <w:t>Executive Summary</w:t>
      </w:r>
    </w:p>
    <w:p>
      <w:pPr>
        <w:pStyle w:val="FirstParagraph"/>
        <w:rPr/>
      </w:pPr>
      <w:bookmarkStart w:id="7" w:name="executive-summary"/>
      <w:r>
        <w:rPr/>
        <w:t>Over the summer of 2024 the Native Bee Society of BC, in collaboration with the OSU Master Melittologists, surveyed for bees in the City of North Vancouver. Over 10 survey days 175 specimens from five families, 14 genera and 43 species were collected from 36 different plant species. One species at risk, Bombus flavidus, was observed, as well as nine non- native species. Previous to these surveys, only 13 species were in the publicly available record. A species checklist is provided, as well as details on plant use by different bee families.</w:t>
      </w:r>
      <w:bookmarkEnd w:id="7"/>
    </w:p>
    <w:p>
      <w:pPr>
        <w:pStyle w:val="Heading1"/>
        <w:rPr/>
      </w:pPr>
      <w:bookmarkStart w:id="8" w:name="__RefHeading___Toc1457_2326503461"/>
      <w:bookmarkEnd w:id="8"/>
      <w:r>
        <w:rPr/>
        <w:t>Description of project</w:t>
      </w:r>
    </w:p>
    <w:p>
      <w:pPr>
        <w:pStyle w:val="FirstParagraph"/>
        <w:rPr/>
      </w:pPr>
      <w:bookmarkStart w:id="9" w:name="description-of-project"/>
      <w:r>
        <w:rPr/>
        <w:t>The BC Bee Atlas provided native bee survey services to the City of North Vancouver over the summer of 2024, under contract with the City of North Vancouver Engineering, Parks &amp; Environment Department. Surveys were intended to provide baseline data on native bee diversity and plant use to the City of North Vancouver, as well as a preliminary species list to guide ongoing pollinator conservation efforts. A specific focus of the project was on a City of North Vancouver pilot project to reduce mowing in areas of Grand Boulevard Park. Without baseline data, determining the possible effects of habitat modification is difficult. In addition, without a species-level understanding of the fauna using City of North Vancouver parks, planting plans and modifications may inadvertently support common or introduced species rather than rare and vulnerable species. The production of a species list is intended to provide the City of North Vancouver with specific information on the rare, common and introduced species using the park and the plants supporting those species.</w:t>
      </w:r>
      <w:bookmarkEnd w:id="9"/>
    </w:p>
    <w:p>
      <w:pPr>
        <w:pStyle w:val="Heading1"/>
        <w:rPr/>
      </w:pPr>
      <w:bookmarkStart w:id="10" w:name="__RefHeading___Toc1459_2326503461"/>
      <w:bookmarkEnd w:id="10"/>
      <w:r>
        <w:rPr/>
        <w:t>BC Bee Atlas Survey Methods</w:t>
      </w:r>
    </w:p>
    <w:p>
      <w:pPr>
        <w:pStyle w:val="FirstParagraph"/>
        <w:rPr/>
      </w:pPr>
      <w:bookmarkStart w:id="11" w:name="bc-bee-atlas-survey-methods"/>
      <w:r>
        <w:rPr/>
        <w:t>Surveys were conducted by volunteers trained by the Oregon State University Master Melittologist Program, following methods outlined by Best et al. (2022). Volunteers hand- netted bees from flowers within City of North Vancouver Parks. Bee specimens were retained, pinned, labelled, and submitted to the BC Bee Atlas for identification. Flowers bees were collected on were photographically documented using the citizen science platform iNaturalist, producing bee-plant association records. All the bee specimens collected from a single species of plant by a volunteer on a single day comprised one sample event.</w:t>
      </w:r>
      <w:bookmarkEnd w:id="11"/>
    </w:p>
    <w:p>
      <w:pPr>
        <w:pStyle w:val="Heading1"/>
        <w:rPr/>
      </w:pPr>
      <w:bookmarkStart w:id="12" w:name="__RefHeading___Toc1461_2326503461"/>
      <w:bookmarkEnd w:id="12"/>
      <w:r>
        <w:rPr/>
        <w:t>BC Bee Atlas Survey Results</w:t>
      </w:r>
    </w:p>
    <w:tbl>
      <w:tblPr>
        <w:tblW w:w="11958" w:type="dxa"/>
        <w:jc w:val="center"/>
        <w:tblInd w:w="0" w:type="dxa"/>
        <w:tblLayout w:type="fixed"/>
        <w:tblCellMar>
          <w:top w:w="0" w:type="dxa"/>
          <w:left w:w="2" w:type="dxa"/>
          <w:bottom w:w="0" w:type="dxa"/>
          <w:right w:w="0" w:type="dxa"/>
        </w:tblCellMar>
        <w:tblLook w:noHBand="0" w:noVBand="1" w:firstColumn="0" w:lastRow="0" w:lastColumn="0" w:firstRow="1"/>
      </w:tblPr>
      <w:tblGrid>
        <w:gridCol w:w="1454"/>
        <w:gridCol w:w="1181"/>
        <w:gridCol w:w="2643"/>
        <w:gridCol w:w="3372"/>
        <w:gridCol w:w="3308"/>
      </w:tblGrid>
      <w:tr>
        <w:trPr>
          <w:trHeight w:val="659" w:hRule="atLeast"/>
        </w:trPr>
        <w:tc>
          <w:tcPr>
            <w:tcW w:w="1454" w:type="dxa"/>
            <w:tcBorders>
              <w:top w:val="single" w:sz="2" w:space="0" w:color="000000"/>
              <w:left w:val="single" w:sz="2" w:space="0" w:color="000000"/>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b/>
                <w:i w:val="false"/>
                <w:i w:val="false"/>
                <w:strike w:val="false"/>
                <w:dstrike w:val="false"/>
                <w:color w:val="000000"/>
                <w:sz w:val="20"/>
                <w:szCs w:val="20"/>
                <w:u w:val="none"/>
              </w:rPr>
            </w:pPr>
            <w:r>
              <w:rPr>
                <w:rFonts w:eastAsia="DejaVu Sans" w:cs="DejaVu Sans" w:ascii="DejaVu Sans" w:hAnsi="DejaVu Sans"/>
                <w:b/>
                <w:i w:val="false"/>
                <w:strike w:val="false"/>
                <w:dstrike w:val="false"/>
                <w:color w:val="000000"/>
                <w:sz w:val="20"/>
                <w:szCs w:val="20"/>
                <w:u w:val="none"/>
              </w:rPr>
              <w:t>year</w:t>
            </w:r>
          </w:p>
        </w:tc>
        <w:tc>
          <w:tcPr>
            <w:tcW w:w="1181" w:type="dxa"/>
            <w:tcBorders>
              <w:top w:val="single" w:sz="2" w:space="0" w:color="000000"/>
              <w:bottom w:val="single" w:sz="2" w:space="0" w:color="000000"/>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b/>
                <w:i w:val="false"/>
                <w:i w:val="false"/>
                <w:strike w:val="false"/>
                <w:dstrike w:val="false"/>
                <w:color w:val="000000"/>
                <w:sz w:val="20"/>
                <w:szCs w:val="20"/>
                <w:u w:val="none"/>
              </w:rPr>
            </w:pPr>
            <w:r>
              <w:rPr>
                <w:rFonts w:eastAsia="DejaVu Sans" w:cs="DejaVu Sans" w:ascii="DejaVu Sans" w:hAnsi="DejaVu Sans"/>
                <w:b/>
                <w:i w:val="false"/>
                <w:strike w:val="false"/>
                <w:dstrike w:val="false"/>
                <w:color w:val="000000"/>
                <w:sz w:val="20"/>
                <w:szCs w:val="20"/>
                <w:u w:val="none"/>
              </w:rPr>
              <w:t>Month</w:t>
            </w:r>
          </w:p>
        </w:tc>
        <w:tc>
          <w:tcPr>
            <w:tcW w:w="2643" w:type="dxa"/>
            <w:tcBorders>
              <w:top w:val="single" w:sz="2" w:space="0" w:color="000000"/>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b/>
                <w:i w:val="false"/>
                <w:i w:val="false"/>
                <w:strike w:val="false"/>
                <w:dstrike w:val="false"/>
                <w:color w:val="000000"/>
                <w:sz w:val="20"/>
                <w:szCs w:val="20"/>
                <w:u w:val="none"/>
              </w:rPr>
            </w:pPr>
            <w:r>
              <w:rPr>
                <w:rFonts w:eastAsia="DejaVu Sans" w:cs="DejaVu Sans" w:ascii="DejaVu Sans" w:hAnsi="DejaVu Sans"/>
                <w:b/>
                <w:i w:val="false"/>
                <w:strike w:val="false"/>
                <w:dstrike w:val="false"/>
                <w:color w:val="000000"/>
                <w:sz w:val="20"/>
                <w:szCs w:val="20"/>
                <w:u w:val="none"/>
              </w:rPr>
              <w:t># of days of survey</w:t>
            </w:r>
          </w:p>
        </w:tc>
        <w:tc>
          <w:tcPr>
            <w:tcW w:w="3372" w:type="dxa"/>
            <w:tcBorders>
              <w:top w:val="single" w:sz="2" w:space="0" w:color="000000"/>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b/>
                <w:i w:val="false"/>
                <w:i w:val="false"/>
                <w:strike w:val="false"/>
                <w:dstrike w:val="false"/>
                <w:color w:val="000000"/>
                <w:sz w:val="20"/>
                <w:szCs w:val="20"/>
                <w:u w:val="none"/>
              </w:rPr>
            </w:pPr>
            <w:r>
              <w:rPr>
                <w:rFonts w:eastAsia="DejaVu Sans" w:cs="DejaVu Sans" w:ascii="DejaVu Sans" w:hAnsi="DejaVu Sans"/>
                <w:b/>
                <w:i w:val="false"/>
                <w:strike w:val="false"/>
                <w:dstrike w:val="false"/>
                <w:color w:val="000000"/>
                <w:sz w:val="20"/>
                <w:szCs w:val="20"/>
                <w:u w:val="none"/>
              </w:rPr>
              <w:t># of speciments collected</w:t>
            </w:r>
          </w:p>
        </w:tc>
        <w:tc>
          <w:tcPr>
            <w:tcW w:w="3308" w:type="dxa"/>
            <w:tcBorders>
              <w:top w:val="single" w:sz="2" w:space="0" w:color="000000"/>
              <w:bottom w:val="single" w:sz="2" w:space="0" w:color="000000"/>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b/>
                <w:i w:val="false"/>
                <w:i w:val="false"/>
                <w:strike w:val="false"/>
                <w:dstrike w:val="false"/>
                <w:color w:val="000000"/>
                <w:sz w:val="20"/>
                <w:szCs w:val="20"/>
                <w:u w:val="none"/>
              </w:rPr>
            </w:pPr>
            <w:r>
              <w:rPr>
                <w:rFonts w:eastAsia="DejaVu Sans" w:cs="DejaVu Sans" w:ascii="DejaVu Sans" w:hAnsi="DejaVu Sans"/>
                <w:b/>
                <w:i w:val="false"/>
                <w:strike w:val="false"/>
                <w:dstrike w:val="false"/>
                <w:color w:val="000000"/>
                <w:sz w:val="20"/>
                <w:szCs w:val="20"/>
                <w:u w:val="none"/>
              </w:rPr>
              <w:t># of species documented</w:t>
            </w:r>
          </w:p>
        </w:tc>
      </w:tr>
      <w:tr>
        <w:trPr>
          <w:trHeight w:val="650" w:hRule="atLeast"/>
        </w:trPr>
        <w:tc>
          <w:tcPr>
            <w:tcW w:w="1454" w:type="dxa"/>
            <w:tcBorders>
              <w:top w:val="single" w:sz="2" w:space="0" w:color="000000"/>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top w:val="single" w:sz="2" w:space="0" w:color="000000"/>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Jun</w:t>
            </w:r>
          </w:p>
        </w:tc>
        <w:tc>
          <w:tcPr>
            <w:tcW w:w="2643" w:type="dxa"/>
            <w:tcBorders>
              <w:top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72" w:type="dxa"/>
            <w:tcBorders>
              <w:top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08" w:type="dxa"/>
            <w:tcBorders>
              <w:top w:val="single" w:sz="2" w:space="0" w:color="000000"/>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Aug</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r>
      <w:tr>
        <w:trPr>
          <w:trHeight w:val="615"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Mar</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Apr</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27</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w:t>
            </w:r>
          </w:p>
        </w:tc>
      </w:tr>
      <w:tr>
        <w:trPr>
          <w:trHeight w:val="651"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May</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14</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69</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14</w:t>
            </w:r>
          </w:p>
        </w:tc>
      </w:tr>
      <w:tr>
        <w:trPr>
          <w:trHeight w:val="650"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Jun</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15</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106</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29</w:t>
            </w:r>
          </w:p>
        </w:tc>
      </w:tr>
      <w:tr>
        <w:trPr>
          <w:trHeight w:val="656"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Jul</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16</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131</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27</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Aug</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11</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91</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19</w:t>
            </w:r>
          </w:p>
        </w:tc>
      </w:tr>
      <w:tr>
        <w:trPr>
          <w:trHeight w:val="654"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Sep</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12</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43</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w:t>
            </w:r>
          </w:p>
        </w:tc>
      </w:tr>
      <w:tr>
        <w:trPr>
          <w:trHeight w:val="615"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Oct</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9</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w:t>
            </w:r>
          </w:p>
        </w:tc>
      </w:tr>
      <w:tr>
        <w:trPr>
          <w:trHeight w:val="615"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Mar</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14</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Apr</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25</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6</w:t>
            </w:r>
          </w:p>
        </w:tc>
      </w:tr>
      <w:tr>
        <w:trPr>
          <w:trHeight w:val="651"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May</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13</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56</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11</w:t>
            </w:r>
          </w:p>
        </w:tc>
      </w:tr>
      <w:tr>
        <w:trPr>
          <w:trHeight w:val="650"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Jun</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15</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110</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24</w:t>
            </w:r>
          </w:p>
        </w:tc>
      </w:tr>
      <w:tr>
        <w:trPr>
          <w:trHeight w:val="656"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Jul</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21</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114</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30</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Aug</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19</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269</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45</w:t>
            </w:r>
          </w:p>
        </w:tc>
      </w:tr>
      <w:tr>
        <w:trPr>
          <w:trHeight w:val="654"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Sep</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14</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103</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21</w:t>
            </w:r>
          </w:p>
        </w:tc>
      </w:tr>
      <w:tr>
        <w:trPr>
          <w:trHeight w:val="615"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Oct</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7</w:t>
            </w:r>
          </w:p>
        </w:tc>
      </w:tr>
      <w:tr>
        <w:trPr>
          <w:trHeight w:val="615"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Mar</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Apr</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18</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w:t>
            </w:r>
          </w:p>
        </w:tc>
      </w:tr>
      <w:tr>
        <w:trPr>
          <w:trHeight w:val="651"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May</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19</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269</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31</w:t>
            </w:r>
          </w:p>
        </w:tc>
      </w:tr>
      <w:tr>
        <w:trPr>
          <w:trHeight w:val="650"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Jun</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437</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55</w:t>
            </w:r>
          </w:p>
        </w:tc>
      </w:tr>
      <w:tr>
        <w:trPr>
          <w:trHeight w:val="656"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Jul</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18</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218</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33</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Aug</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13</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86</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w:t>
            </w:r>
          </w:p>
        </w:tc>
      </w:tr>
      <w:tr>
        <w:trPr>
          <w:trHeight w:val="654"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Sep</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12</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w:t>
            </w:r>
          </w:p>
        </w:tc>
      </w:tr>
      <w:tr>
        <w:trPr>
          <w:trHeight w:val="615"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Mar</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6</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10</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w:t>
            </w:r>
          </w:p>
        </w:tc>
      </w:tr>
      <w:tr>
        <w:trPr>
          <w:trHeight w:val="651"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Apr</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12</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53</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13</w:t>
            </w:r>
          </w:p>
        </w:tc>
      </w:tr>
      <w:tr>
        <w:trPr>
          <w:trHeight w:val="651"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May</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19</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234</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34</w:t>
            </w:r>
          </w:p>
        </w:tc>
      </w:tr>
      <w:tr>
        <w:trPr>
          <w:trHeight w:val="650"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Jun</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695</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82</w:t>
            </w:r>
          </w:p>
        </w:tc>
      </w:tr>
      <w:tr>
        <w:trPr>
          <w:trHeight w:val="656"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Jul</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23</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477</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80</w:t>
            </w:r>
          </w:p>
        </w:tc>
      </w:tr>
      <w:tr>
        <w:trPr>
          <w:trHeight w:val="651"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Aug</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677</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52</w:t>
            </w:r>
          </w:p>
        </w:tc>
      </w:tr>
      <w:tr>
        <w:trPr>
          <w:trHeight w:val="654" w:hRule="atLeast"/>
        </w:trPr>
        <w:tc>
          <w:tcPr>
            <w:tcW w:w="1454" w:type="dxa"/>
            <w:tcBorders>
              <w:lef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Sep</w:t>
            </w:r>
          </w:p>
        </w:tc>
        <w:tc>
          <w:tcPr>
            <w:tcW w:w="2643"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13</w:t>
            </w:r>
          </w:p>
        </w:tc>
        <w:tc>
          <w:tcPr>
            <w:tcW w:w="3372" w:type="dxa"/>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318</w:t>
            </w:r>
          </w:p>
        </w:tc>
        <w:tc>
          <w:tcPr>
            <w:tcW w:w="3308" w:type="dxa"/>
            <w:tcBorders>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38</w:t>
            </w:r>
          </w:p>
        </w:tc>
      </w:tr>
      <w:tr>
        <w:trPr>
          <w:trHeight w:val="615" w:hRule="atLeast"/>
        </w:trPr>
        <w:tc>
          <w:tcPr>
            <w:tcW w:w="1454" w:type="dxa"/>
            <w:tcBorders>
              <w:lef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shd w:color="auto" w:fill="F2F2F2"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Oct</w:t>
            </w:r>
          </w:p>
        </w:tc>
        <w:tc>
          <w:tcPr>
            <w:tcW w:w="2643"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72" w:type="dxa"/>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c>
          <w:tcPr>
            <w:tcW w:w="3308" w:type="dxa"/>
            <w:tcBorders>
              <w:right w:val="single" w:sz="2" w:space="0" w:color="000000"/>
            </w:tcBorders>
            <w:shd w:color="auto" w:fill="F2F2F2"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w:t>
            </w:r>
          </w:p>
        </w:tc>
      </w:tr>
      <w:tr>
        <w:trPr>
          <w:trHeight w:val="615" w:hRule="atLeast"/>
        </w:trPr>
        <w:tc>
          <w:tcPr>
            <w:tcW w:w="1454" w:type="dxa"/>
            <w:tcBorders>
              <w:left w:val="single" w:sz="2" w:space="0" w:color="000000"/>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2.02e+03</w:t>
            </w:r>
          </w:p>
        </w:tc>
        <w:tc>
          <w:tcPr>
            <w:tcW w:w="1181" w:type="dxa"/>
            <w:tcBorders>
              <w:bottom w:val="single" w:sz="2" w:space="0" w:color="000000"/>
            </w:tcBorders>
            <w:shd w:color="auto" w:fill="FFFFFF" w:val="clear"/>
          </w:tcPr>
          <w:p>
            <w:pPr>
              <w:pStyle w:val="Normal"/>
              <w:widowControl w:val="false"/>
              <w:spacing w:lineRule="exact" w:line="240" w:before="120" w:after="120"/>
              <w:ind w:left="120" w:right="120" w:hanging="0"/>
              <w:jc w:val="lef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Nov</w:t>
            </w:r>
          </w:p>
        </w:tc>
        <w:tc>
          <w:tcPr>
            <w:tcW w:w="2643" w:type="dxa"/>
            <w:tcBorders>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72" w:type="dxa"/>
            <w:tcBorders>
              <w:bottom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c>
          <w:tcPr>
            <w:tcW w:w="3308" w:type="dxa"/>
            <w:tcBorders>
              <w:bottom w:val="single" w:sz="2" w:space="0" w:color="000000"/>
              <w:right w:val="single" w:sz="2" w:space="0" w:color="000000"/>
            </w:tcBorders>
            <w:shd w:color="auto" w:fill="FFFFFF" w:val="clear"/>
          </w:tcPr>
          <w:p>
            <w:pPr>
              <w:pStyle w:val="Normal"/>
              <w:widowControl w:val="false"/>
              <w:spacing w:lineRule="exact" w:line="240" w:before="120" w:after="120"/>
              <w:ind w:left="120" w:right="120" w:hanging="0"/>
              <w:jc w:val="right"/>
              <w:rPr>
                <w:rFonts w:ascii="DejaVu Sans" w:hAnsi="DejaVu Sans" w:eastAsia="DejaVu Sans" w:cs="DejaVu Sans"/>
                <w:b w:val="false"/>
                <w:b w:val="false"/>
                <w:i w:val="false"/>
                <w:i w:val="false"/>
                <w:strike w:val="false"/>
                <w:dstrike w:val="false"/>
                <w:color w:val="000000"/>
                <w:sz w:val="20"/>
                <w:szCs w:val="20"/>
                <w:u w:val="none"/>
              </w:rPr>
            </w:pPr>
            <w:r>
              <w:rPr>
                <w:rFonts w:eastAsia="DejaVu Sans" w:cs="DejaVu Sans" w:ascii="DejaVu Sans" w:hAnsi="DejaVu Sans"/>
                <w:b w:val="false"/>
                <w:i w:val="false"/>
                <w:strike w:val="false"/>
                <w:dstrike w:val="false"/>
                <w:color w:val="000000"/>
                <w:sz w:val="20"/>
                <w:szCs w:val="20"/>
                <w:u w:val="none"/>
              </w:rPr>
              <w:t>1</w:t>
            </w:r>
          </w:p>
        </w:tc>
      </w:tr>
    </w:tbl>
    <w:p>
      <w:pPr>
        <w:pStyle w:val="FirstParagraph"/>
        <w:rPr/>
      </w:pPr>
      <w:r>
        <w:rPr/>
      </w:r>
    </w:p>
    <w:p>
      <w:pPr>
        <w:pStyle w:val="FirstParagraph"/>
        <w:rPr/>
      </w:pPr>
      <w:r>
        <w:rPr/>
      </w:r>
    </w:p>
    <w:p>
      <w:pPr>
        <w:pStyle w:val="FirstParagraph"/>
        <w:jc w:val="center"/>
        <w:rPr/>
      </w:pPr>
      <w:r>
        <w:rPr/>
        <w:t>Document prepared with ❤️ and Quarto</w:t>
      </w:r>
    </w:p>
    <w:p>
      <w:pPr>
        <w:pStyle w:val="TextBody"/>
        <w:spacing w:before="180" w:after="180"/>
        <w:jc w:val="center"/>
        <w:rPr/>
      </w:pPr>
      <w:bookmarkStart w:id="13" w:name="bc-bee-atlas-survey-results"/>
      <w:r>
        <w:rPr/>
        <w:t>Last updated Sat Dec 27 14:37:06 2025</w:t>
      </w:r>
      <w:bookmarkEnd w:id="1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DejaVu 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75041F"/>
      <w:sz w:val="32"/>
      <w:szCs w:val="32"/>
    </w:rPr>
  </w:style>
  <w:style w:type="paragraph" w:styleId="Heading2">
    <w:name w:val="Heading 2"/>
    <w:basedOn w:val="Normal"/>
    <w:next w:val="TextBody"/>
    <w:uiPriority w:val="9"/>
    <w:unhideWhenUsed/>
    <w:qFormat/>
    <w:pPr>
      <w:keepNext w:val="true"/>
      <w:keepLines/>
      <w:spacing w:before="200" w:after="0"/>
      <w:jc w:val="center"/>
      <w:outlineLvl w:val="1"/>
    </w:pPr>
    <w:rPr>
      <w:rFonts w:ascii="Calibri" w:hAnsi="Calibri" w:eastAsia="" w:cs="" w:asciiTheme="majorHAnsi" w:cstheme="majorBidi" w:eastAsiaTheme="majorEastAsia" w:hAnsiTheme="majorHAnsi"/>
      <w:b/>
      <w:bCs/>
      <w:color w:val="75041F"/>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75041F"/>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75041F"/>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75041F"/>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75041F"/>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75041F"/>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75041F"/>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75041F"/>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75041F"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basedOn w:val="Heading2"/>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bCs w:val="false"/>
      <w:color w:val="75041F" w:themeShade="bf"/>
    </w:rPr>
  </w:style>
  <w:style w:type="paragraph" w:styleId="SourceCode" w:customStyle="1">
    <w:name w:val="Source Code"/>
    <w:basedOn w:val="Normal"/>
    <w:link w:val="VerbatimChar"/>
    <w:qFormat/>
    <w:pPr>
      <w:shd w:val="clear" w:fill="F1F3F5"/>
    </w:pPr>
    <w:rPr/>
  </w:style>
  <w:style w:type="paragraph" w:styleId="CenterH2">
    <w:name w:val="Center H2"/>
    <w:basedOn w:val="BlockText"/>
    <w:qFormat/>
    <w:pPr>
      <w:jc w:val="center"/>
    </w:pPr>
    <w:rPr>
      <w:rFonts w:ascii="Calibri" w:hAnsi="Calibri"/>
      <w:b/>
      <w:color w:val="75041F"/>
    </w:rPr>
  </w:style>
  <w:style w:type="paragraph" w:styleId="Centertext">
    <w:name w:val="Center text"/>
    <w:basedOn w:val="BlockText"/>
    <w:qFormat/>
    <w:pPr>
      <w:jc w:val="center"/>
    </w:pPr>
    <w:rPr/>
  </w:style>
  <w:style w:type="paragraph" w:styleId="Contents2">
    <w:name w:val="TOC 2"/>
    <w:basedOn w:val="Index"/>
    <w:pPr>
      <w:tabs>
        <w:tab w:val="clear" w:pos="720"/>
        <w:tab w:val="right" w:pos="9077" w:leader="dot"/>
      </w:tabs>
      <w:ind w:left="283" w:hanging="0"/>
    </w:pPr>
    <w:rPr/>
  </w:style>
  <w:style w:type="paragraph" w:styleId="Contents1">
    <w:name w:val="TOC 1"/>
    <w:basedOn w:val="Index"/>
    <w:pPr>
      <w:tabs>
        <w:tab w:val="clear" w:pos="720"/>
        <w:tab w:val="right" w:pos="9360" w:leader="dot"/>
      </w:tabs>
      <w:ind w:left="0"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quarto.or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6</Pages>
  <Words>914</Words>
  <Characters>4618</Characters>
  <CharactersWithSpaces>5295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2025-12-27T22:37:06Z</dcterms:created>
  <dc:creator/>
  <dc:description/>
  <dc:language>en-CA</dc:language>
  <cp:lastModifiedBy/>
  <dcterms:modified xsi:type="dcterms:W3CDTF">2026-01-10T10:22:28Z</dcterms:modified>
  <cp:revision>7</cp:revision>
  <dc:subject/>
  <dc:title>BC Bee Atlas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2025-12-27</vt:lpwstr>
  </property>
  <property fmtid="{D5CDD505-2E9C-101B-9397-08002B2CF9AE}" pid="4" name="editor">
    <vt:lpwstr>visual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Provincial Report - 2024 Baseline data</vt:lpwstr>
  </property>
  <property fmtid="{D5CDD505-2E9C-101B-9397-08002B2CF9AE}" pid="11" name="toc-title">
    <vt:lpwstr>Table of contents</vt:lpwstr>
  </property>
</Properties>
</file>