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MATRIKS PEMILIHAN DESAIN RISET KEDOKTERAN DAN FORMULA BESAR SAMPEL</w:t>
        <w:br/>
      </w:r>
      <w:r>
        <w:rPr>
          <w:rFonts w:ascii="Times New Roman" w:hAnsi="Times New Roman"/>
          <w:b w:val="0"/>
          <w:i/>
          <w:color w:val="000000"/>
          <w:sz w:val="24"/>
          <w:rFonts w:ascii="Times New Roman" w:hAnsi="Times New Roman" w:cs="Times New Roman" w:eastAsia="Times New Roman"/>
        </w:rPr>
        <w:t>Pedoman Metodologi Riset Kedokteran Bebas Red Flags Penguji — NASKAH.FK</w:t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 w:eastAsia="Times New Roman"/>
        </w:rPr>
        <w:t>1. Matriks Komparasi Desain Penelitian Observasional dan Eksperimental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CCCCCC"/>
          <w:insideV w:val="none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tblHeader/>
        </w:trPr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Parameter Metodologi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Potong Lintang (Cross-Sectional)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Kasus-Kontrol (Case-Control)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Kohort (Cohort Study)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Uji Klinis Acak (RCT)</w:t>
            </w:r>
          </w:p>
        </w:tc>
      </w:tr>
      <w:tr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Arah Pengamatan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Simultan satu titik waktu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Retrospektif (efek ke pajanan)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Prospektif (pajanan ke efek)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Prospektif intervensi aktif</w:t>
            </w:r>
          </w:p>
        </w:tc>
      </w:tr>
      <w:tr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Ukuran Asosiasi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Prevalence Ratio (PR) / Rasio Prevalensi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Odds Ratio (OR) Sahaja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Relative Risk (RR) / Hazard Ratio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Relative Risk Reduction (RRR) / NNT</w:t>
            </w:r>
          </w:p>
        </w:tc>
      </w:tr>
      <w:tr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Kelebihan Utama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Efisien waktu, biaya terjangkau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Sangat efektif untuk penyakit jarang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Dapat mengukur insidensi &amp; temporalitas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Baku emas pembuktian kausalitas</w:t>
            </w:r>
          </w:p>
        </w:tc>
      </w:tr>
      <w:tr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Kelemahan Utama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Tidak membuktikan hubungan sebab-akibat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Rentan bias ingatan (recall bias)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Membutuhkan waktu &amp; biaya besar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Pertimbangan etik &amp; risiko drop-out</w:t>
            </w:r>
          </w:p>
        </w:tc>
      </w:tr>
      <w:tr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Formula Sampel Baku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Lemeshow Estimasi Proporsi Populasi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Lemeshow Uji Hipotesis Beda 2 Proporsi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Lemeshow Rasio Risiko (RR)</w:t>
            </w:r>
          </w:p>
        </w:tc>
        <w:tc>
          <w:tcPr>
            <w:tcW w:type="dxa" w:w="158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  <w:rFonts w:ascii="Times New Roman" w:hAnsi="Times New Roman" w:cs="Times New Roman" w:eastAsia="Times New Roman"/>
              </w:rPr>
              <w:t>Formula Beda Rerata / 2 Proporsi Eksperimen</w:t>
            </w:r>
          </w:p>
        </w:tc>
      </w:tr>
    </w:tbl>
    <w:p>
      <w:pPr>
        <w:pStyle w:val="Heading1"/>
        <w:spacing w:before="240" w:after="12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 w:eastAsia="Times New Roman"/>
        </w:rPr>
        <w:t>2. Poin Kritis (Red Flags) Metodologi Kedokteran</w:t>
      </w:r>
    </w:p>
    <w:p>
      <w:pPr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cs="Times New Roman" w:eastAsia="Times New Roman"/>
        </w:rPr>
        <w:t>a. Larangan Pelaporan Relative Risk pada Case-Control: Desain kasus-kontrol tidak dapat mengukur insidensi penyakit, sehingga ukuran asosiasi yang valid secara matematis hanyalah Odds Ratio (OR).</w:t>
        <w:br/>
        <w:t>b. Ketidaklayakan Rumus Slovin di Bidang Kedokteran: Rumus Slovin tidak memperhitungkan tingkat kemaknaan (alpha), kekuatan uji (power/beta), proporsi rujukan, maupun presisi klinis. Gunakan rumus Lemeshow yang sesuai dengan tujuan hipotesis.</w:t>
        <w:br/>
        <w:t>c. Koreksi Drop-Out Besar Sampel: Peneliti wajib menambahkan antisipasi drop-out dengan formula n_akhir = n_hitung / (1 - f), di mana f umumnya bernilai 0,10 (10%).</w:t>
        <w:br/>
      </w:r>
    </w:p>
    <w:sectPr w:rsidR="00FC693F" w:rsidRPr="0006063C" w:rsidSect="00034616">
      <w:pgSz w:w="11906" w:h="16838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