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LEMBAR RINGKASAN PROGRES DAN TINDAK LANJUT REVISI BIMBINGAN</w:t>
        <w:br/>
      </w:r>
      <w:r>
        <w:rPr>
          <w:rFonts w:ascii="Times New Roman" w:hAnsi="Times New Roman"/>
          <w:b w:val="0"/>
          <w:i/>
          <w:color w:val="000000"/>
          <w:sz w:val="24"/>
          <w:rFonts w:ascii="Times New Roman" w:hAnsi="Times New Roman" w:cs="Times New Roman" w:eastAsia="Times New Roman"/>
        </w:rPr>
        <w:t>Formulir Komunikasi Efektif Dosen Pembimbing Skripsi Kedokteran — NASKAH.FK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>I. IDENTITAS BIMBINGAN</w:t>
      </w:r>
    </w:p>
    <w:p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Nama Mahasiswa / NIM : [Nama Mahasiswa Lengkap] / [NIM]</w:t>
        <w:br/>
        <w:t>Dosen Pembimbing I    : [Nama Lengkap beserta Gelar Akademik Dospem I]</w:t>
        <w:br/>
        <w:t>Dosen Pembimbing II   : [Nama Lengkap beserta Gelar Akademik Dospem II]</w:t>
        <w:br/>
        <w:t>Tahapan Naskah        : Revisi Proposal / Revisi Bab 4–5 / Pra-Sidang Hasil</w:t>
        <w:br/>
        <w:t>Tanggal Penyerahan    : [DD Bulan YYYY]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>II. MATRIKS TINDAK LANJUT REVISI SEBELUMNYA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/>
          <w:bottom w:val="single" w:sz="8" w:space="0" w:color="000000"/>
          <w:right w:val="none"/>
          <w:insideH w:val="single" w:sz="4" w:space="0" w:color="CCCCCC"/>
          <w:insideV w:val="none"/>
        </w:tblBorders>
      </w:tblPr>
      <w:tblGrid>
        <w:gridCol w:w="1984"/>
        <w:gridCol w:w="1984"/>
        <w:gridCol w:w="1984"/>
        <w:gridCol w:w="1984"/>
      </w:tblGrid>
      <w:tr>
        <w:trPr>
          <w:tblHeader/>
        </w:trPr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No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Catatan Koreksi Pembimbing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Lokasi Naskah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Tindak Lanjut &amp; Dasar Rujukan</w:t>
            </w:r>
          </w:p>
        </w:tc>
      </w:tr>
      <w:tr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Memperjelas batasan kriteria eksklusi subjek komorbid DM.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Bab 3 (Hal. 28)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Ditambahkan 3 kriteria eksklusi spesifik mengacu pada Konsensus Pengelolaan DM PERKENI 2021.</w:t>
            </w:r>
          </w:p>
        </w:tc>
      </w:tr>
      <w:tr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Tabel karakteristik subjek belum menyajikan persentase lengkap.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Bab 4 (Hal. 42)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Tabel 4.1 diperbaiki dengan menyertakan distribusi frekuensi absolut (n) dan relatif (%).</w:t>
            </w:r>
          </w:p>
        </w:tc>
      </w:tr>
      <w:tr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Paragraf pembahasan masih mengulang angka pada tabel hasil.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Bab 5 (Hal. 55–58)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  <w:rFonts w:ascii="Times New Roman" w:hAnsi="Times New Roman" w:cs="Times New Roman" w:eastAsia="Times New Roman"/>
              </w:rPr>
              <w:t>Paragraf pembahasan direstrukturisasi dengan pola: Temuan Utama -&gt; Rujukan Komparasi -&gt; Mekanisme Patofisiologi.</w:t>
            </w:r>
          </w:p>
        </w:tc>
      </w:tr>
    </w:tbl>
    <w:p>
      <w:pPr>
        <w:pStyle w:val="Heading2"/>
        <w:spacing w:before="200" w:after="80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>III. POIN KRITIS YANG DIMOHONKAN ARAHAN PADA PERTEMUAN INI</w:t>
      </w:r>
    </w:p>
    <w:p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1. Konfirmasi pemilihan uji non-parametrik Mann-Whitney atas data yang tidak berdistribusi normal.</w:t>
        <w:br/>
        <w:t>2. Arahan mengenai penyertaan variabel perancu (usia dan status merokok) pada model regresi multivariat.</w:t>
      </w:r>
    </w:p>
    <w:sectPr w:rsidR="00FC693F" w:rsidRPr="0006063C" w:rsidSect="00034616">
      <w:pgSz w:w="11906" w:h="16838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