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FORMULA PENCARIAN LITERATUR MEDIS DENGAN MeSH DAN BOOLEAN OPERATOR</w:t>
        <w:br/>
      </w:r>
      <w:r>
        <w:rPr>
          <w:rFonts w:ascii="Times New Roman" w:hAnsi="Times New Roman"/>
          <w:b w:val="0"/>
          <w:i/>
          <w:color w:val="000000"/>
          <w:sz w:val="24"/>
          <w:rFonts w:ascii="Times New Roman" w:hAnsi="Times New Roman" w:cs="Times New Roman" w:eastAsia="Times New Roman"/>
        </w:rPr>
        <w:t>Panduan Penelusuran Basis Data PubMed dan Scopus untuk Naskah Skripsi FK — NASKAH.FK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>1. Prinsip Penyusunan String Pencarian Medis (PICO to MeSH)</w:t>
      </w:r>
    </w:p>
    <w:p>
      <w:pPr>
        <w:jc w:val="both"/>
      </w:pPr>
      <w:r>
        <w:rPr>
          <w:rFonts w:ascii="Times New Roman" w:hAnsi="Times New Roman"/>
          <w:b w:val="0"/>
          <w:i w:val="0"/>
          <w:color w:val="000000"/>
          <w:sz w:val="24"/>
          <w:rFonts w:ascii="Times New Roman" w:hAnsi="Times New Roman" w:cs="Times New Roman" w:eastAsia="Times New Roman"/>
        </w:rPr>
        <w:t>Penelusuran literatur ilmiah internasional bereputasi mensyaratkan kombinasi kata kunci terstruktur guna meminimalisir artikel tidak relevan:</w:t>
        <w:br/>
        <w:t>• AND  : Menggabungkan konsep inti PICO yang berbeda (mempersempit ruang lingkup hasil).</w:t>
        <w:br/>
        <w:t>• OR   : Menggabungkan sinonim dan istilah sejenis (memperluas cakupan penelusuran).</w:t>
        <w:br/>
        <w:t>• NOT  : Mengecualikan topik yang tidak dikehendaki (contoh: NOT animals).</w:t>
        <w:br/>
        <w:t>• [Mesh] : Mengunci terminologi baku Medical Subject Headings dari National Library of Medicine.</w:t>
        <w:br/>
        <w:t>• [tiab] : Menargetkan pencarian spesifik pada judul (Title) dan abstrak (Abstract).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>2. Template String Pencarian PubMed Siap Pakai</w:t>
      </w:r>
    </w:p>
    <w:p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>A. Uji Diagnostik &amp; Biomarker (Contoh: Preeklamsia)</w:t>
        <w:br/>
      </w:r>
      <w:r>
        <w:rPr>
          <w:rFonts w:ascii="Times New Roman" w:hAnsi="Times New Roman"/>
          <w:b w:val="0"/>
          <w:i/>
          <w:color w:val="000000"/>
          <w:sz w:val="20"/>
          <w:rFonts w:ascii="Times New Roman" w:hAnsi="Times New Roman" w:cs="Times New Roman" w:eastAsia="Times New Roman"/>
        </w:rPr>
        <w:t>("Pre-Eclampsia"[Mesh] OR "Preeclampsia"[tiab] OR "gestational hypertension"[tiab]) AND ("Biomarkers"[Mesh] OR "sFlt-1"[tiab] OR "PlGF"[tiab]) AND ("Sensitivity and Specificity"[Mesh] OR "ROC Curve"[Mesh] OR "diagnostic accuracy"[tiab])</w:t>
      </w:r>
    </w:p>
    <w:p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>B. Uji Klinis Terapi Farmakologi (Contoh: Diabetes Melitus Tipe 2)</w:t>
        <w:br/>
      </w:r>
      <w:r>
        <w:rPr>
          <w:rFonts w:ascii="Times New Roman" w:hAnsi="Times New Roman"/>
          <w:b w:val="0"/>
          <w:i/>
          <w:color w:val="000000"/>
          <w:sz w:val="20"/>
          <w:rFonts w:ascii="Times New Roman" w:hAnsi="Times New Roman" w:cs="Times New Roman" w:eastAsia="Times New Roman"/>
        </w:rPr>
        <w:t>("Diabetes Mellitus, Type 2"[Mesh] OR "T2DM"[tiab]) AND ("Sodium-Glucose Transporter 2 Inhibitors"[Mesh] OR "SGLT2 inhibitors"[tiab] OR "empagliflozin"[tiab]) AND ("Cardiovascular Diseases"[Mesh] OR "cardiovascular outcomes"[tiab]) AND ("Randomized Controlled Trial"[ptyp])</w:t>
      </w:r>
    </w:p>
    <w:p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>C. Faktor Risiko &amp; Desain Kasus-Kontrol (Contoh: Karsinoma Paru)</w:t>
        <w:br/>
      </w:r>
      <w:r>
        <w:rPr>
          <w:rFonts w:ascii="Times New Roman" w:hAnsi="Times New Roman"/>
          <w:b w:val="0"/>
          <w:i/>
          <w:color w:val="000000"/>
          <w:sz w:val="20"/>
          <w:rFonts w:ascii="Times New Roman" w:hAnsi="Times New Roman" w:cs="Times New Roman" w:eastAsia="Times New Roman"/>
        </w:rPr>
        <w:t>("Lung Neoplasms"[Mesh] OR "lung cancer"[tiab]) AND ("Smoking"[Mesh] OR "tobacco smoke pollution"[Mesh] OR "secondhand smoke"[tiab]) AND ("Risk Factors"[Mesh] OR "Odds Ratio"[tiab] OR "case-control studies"[Mesh])</w:t>
      </w:r>
    </w:p>
    <w:p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>D. Kesehatan Ibu dan Anak (Contoh: Stunting)</w:t>
        <w:br/>
      </w:r>
      <w:r>
        <w:rPr>
          <w:rFonts w:ascii="Times New Roman" w:hAnsi="Times New Roman"/>
          <w:b w:val="0"/>
          <w:i/>
          <w:color w:val="000000"/>
          <w:sz w:val="20"/>
          <w:rFonts w:ascii="Times New Roman" w:hAnsi="Times New Roman" w:cs="Times New Roman" w:eastAsia="Times New Roman"/>
        </w:rPr>
        <w:t>("Growth Disorders"[Mesh] OR "Stunting"[tiab] OR "stunted growth"[tiab]) AND ("Infant"[Mesh] OR "Child, Preschool"[Mesh] OR "toddler"[tiab]) AND ("Exclusive Breastfeeding"[Mesh] OR "complementary feeding"[tiab] OR "dietary diversity"[tiab])</w:t>
      </w:r>
    </w:p>
    <w:p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 w:eastAsia="Times New Roman"/>
        </w:rPr>
        <w:t>E. Penyakit Tropis Infeksius (Contoh: Demam Berdarah Dengue)</w:t>
        <w:br/>
      </w:r>
      <w:r>
        <w:rPr>
          <w:rFonts w:ascii="Times New Roman" w:hAnsi="Times New Roman"/>
          <w:b w:val="0"/>
          <w:i/>
          <w:color w:val="000000"/>
          <w:sz w:val="20"/>
          <w:rFonts w:ascii="Times New Roman" w:hAnsi="Times New Roman" w:cs="Times New Roman" w:eastAsia="Times New Roman"/>
        </w:rPr>
        <w:t>("Dengue"[Mesh] OR "severe dengue"[tiab] OR "dengue hemorrhagic fever"[tiab]) AND ("Early Diagnosis"[Mesh] OR "NS1 antigen"[tiab] OR "warning signs"[tiab]) AND ("Disease Progression"[Mesh] OR "plasma leakage"[tiab])</w:t>
      </w:r>
    </w:p>
    <w:sectPr w:rsidR="00FC693F" w:rsidRPr="0006063C" w:rsidSect="00034616">
      <w:pgSz w:w="11906" w:h="16838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