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6"/>
          <w:rFonts w:ascii="Times New Roman" w:hAnsi="Times New Roman" w:cs="Times New Roman" w:eastAsia="Times New Roman"/>
        </w:rPr>
        <w:t>CHEAT SHEET INTERPRETASI OR, RR, &amp; 95% CI</w:t>
      </w:r>
    </w:p>
    <w:p>
      <w:pPr>
        <w:jc w:val="center"/>
      </w:pPr>
      <w:r>
        <w:rPr>
          <w:rFonts w:ascii="Times New Roman" w:hAnsi="Times New Roman"/>
          <w:b w:val="0"/>
          <w:i/>
          <w:color w:val="505050"/>
          <w:sz w:val="20"/>
          <w:rFonts w:ascii="Times New Roman" w:hAnsi="Times New Roman" w:cs="Times New Roman" w:eastAsia="Times New Roman"/>
        </w:rPr>
        <w:t>Pedoman Pelaporan Ukuran Asosiasi dan Kekuatan Hubungan Klinis</w:t>
      </w:r>
    </w:p>
    <w:p>
      <w:pPr>
        <w:spacing w:after="240"/>
        <w:jc w:val="center"/>
      </w:pPr>
      <w:r>
        <w:rPr>
          <w:rFonts w:ascii="Times New Roman" w:hAnsi="Times New Roman"/>
          <w:b w:val="0"/>
          <w:i w:val="0"/>
          <w:color w:val="969696"/>
          <w:sz w:val="20"/>
          <w:rFonts w:ascii="Times New Roman" w:hAnsi="Times New Roman" w:cs="Times New Roman" w:eastAsia="Times New Roman"/>
        </w:rPr>
        <w:t>――――――――――――――――――――――――――――――――――――――――――――――――</w:t>
      </w:r>
    </w:p>
    <w:p>
      <w:pPr>
        <w:keepNext/>
        <w:spacing w:before="240" w:after="80"/>
      </w:pPr>
      <w:r>
        <w:rPr>
          <w:rFonts w:ascii="Times New Roman" w:hAnsi="Times New Roman"/>
          <w:b/>
          <w:i w:val="0"/>
          <w:color w:val="000000"/>
          <w:sz w:val="24"/>
          <w:rFonts w:ascii="Times New Roman" w:hAnsi="Times New Roman" w:cs="Times New Roman" w:eastAsia="Times New Roman"/>
        </w:rPr>
        <w:t>1. Definisi dan Aplikasi Desain Studi</w:t>
      </w:r>
    </w:p>
    <w:p>
      <w:r>
        <w:rPr>
          <w:rFonts w:ascii="Times New Roman" w:hAnsi="Times New Roman"/>
          <w:b w:val="0"/>
          <w:i w:val="0"/>
          <w:color w:val="000000"/>
          <w:sz w:val="22"/>
          <w:rFonts w:ascii="Times New Roman" w:hAnsi="Times New Roman" w:cs="Times New Roman" w:eastAsia="Times New Roman"/>
        </w:rPr>
        <w:t>• Odds Ratio (OR): Digunakan khusus pada desain Case-Control dan analisis Multivariat Regresi Logistik. Mengukur rasio kemungkinan terpapar pada kelompok sakit dibandingkan kelompok tidak sakit.</w:t>
        <w:br/>
        <w:t>• Relative Risk (RR): Digunakan pada desain Cohort dan Uji Klinis (RCT). Mengukur rasio insiden penyakit pada kelompok terpapar dibandingkan kelompok tidak terpapar.</w:t>
        <w:br/>
        <w:t>• Prevalence Ratio (PR): Digunakan pada studi potong lintang (Cross-Sectional) untuk mengukur rasio prevalensi penyakit.</w:t>
      </w:r>
    </w:p>
    <w:p>
      <w:pPr>
        <w:keepNext/>
        <w:spacing w:before="240" w:after="80"/>
      </w:pPr>
      <w:r>
        <w:rPr>
          <w:rFonts w:ascii="Times New Roman" w:hAnsi="Times New Roman"/>
          <w:b/>
          <w:i w:val="0"/>
          <w:color w:val="000000"/>
          <w:sz w:val="24"/>
          <w:rFonts w:ascii="Times New Roman" w:hAnsi="Times New Roman" w:cs="Times New Roman" w:eastAsia="Times New Roman"/>
        </w:rPr>
        <w:t>2. Aturan Baku Nilai 1 (The Null Value) dan Rentang 95% CI</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646"/>
        <w:gridCol w:w="2646"/>
        <w:gridCol w:w="2646"/>
      </w:tblGrid>
      <w:tr>
        <w:trPr>
          <w:tblHeader/>
        </w:trPr>
        <w:tc>
          <w:tcPr>
            <w:tcW w:type="dxa" w:w="2646"/>
            <w:tcMar>
              <w:top w:w="120" w:type="dxa"/>
              <w:bottom w:w="120" w:type="dxa"/>
              <w:left w:w="140" w:type="dxa"/>
              <w:right w:w="140" w:type="dxa"/>
            </w:tcMar>
          </w:tcPr>
          <w:p>
            <w:pPr>
              <w:spacing w:line="240" w:lineRule="auto" w:after="40"/>
            </w:pPr>
            <w:r>
              <w:rPr>
                <w:rFonts w:ascii="Times New Roman" w:hAnsi="Times New Roman"/>
                <w:b/>
                <w:i w:val="0"/>
                <w:color w:val="000000"/>
                <w:sz w:val="21"/>
                <w:rFonts w:ascii="Times New Roman" w:hAnsi="Times New Roman" w:cs="Times New Roman" w:eastAsia="Times New Roman"/>
              </w:rPr>
              <w:t>Nilai OR / RR</w:t>
            </w:r>
          </w:p>
        </w:tc>
        <w:tc>
          <w:tcPr>
            <w:tcW w:type="dxa" w:w="2646"/>
            <w:tcMar>
              <w:top w:w="120" w:type="dxa"/>
              <w:bottom w:w="120" w:type="dxa"/>
              <w:left w:w="140" w:type="dxa"/>
              <w:right w:w="140" w:type="dxa"/>
            </w:tcMar>
          </w:tcPr>
          <w:p>
            <w:pPr>
              <w:spacing w:line="240" w:lineRule="auto" w:after="40"/>
            </w:pPr>
            <w:r>
              <w:rPr>
                <w:rFonts w:ascii="Times New Roman" w:hAnsi="Times New Roman"/>
                <w:b/>
                <w:i w:val="0"/>
                <w:color w:val="000000"/>
                <w:sz w:val="21"/>
                <w:rFonts w:ascii="Times New Roman" w:hAnsi="Times New Roman" w:cs="Times New Roman" w:eastAsia="Times New Roman"/>
              </w:rPr>
              <w:t>Rentang 95% Confidence Interval</w:t>
            </w:r>
          </w:p>
        </w:tc>
        <w:tc>
          <w:tcPr>
            <w:tcW w:type="dxa" w:w="2646"/>
            <w:tcMar>
              <w:top w:w="120" w:type="dxa"/>
              <w:bottom w:w="120" w:type="dxa"/>
              <w:left w:w="140" w:type="dxa"/>
              <w:right w:w="140" w:type="dxa"/>
            </w:tcMar>
          </w:tcPr>
          <w:p>
            <w:pPr>
              <w:spacing w:line="240" w:lineRule="auto" w:after="40"/>
            </w:pPr>
            <w:r>
              <w:rPr>
                <w:rFonts w:ascii="Times New Roman" w:hAnsi="Times New Roman"/>
                <w:b/>
                <w:i w:val="0"/>
                <w:color w:val="000000"/>
                <w:sz w:val="21"/>
                <w:rFonts w:ascii="Times New Roman" w:hAnsi="Times New Roman" w:cs="Times New Roman" w:eastAsia="Times New Roman"/>
              </w:rPr>
              <w:t>Interpretasi &amp; Kesimpulan Ilmiah</w:t>
            </w:r>
          </w:p>
        </w:tc>
      </w:tr>
      <w:tr>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OR / RR &gt; 1.0</w:t>
            </w:r>
          </w:p>
        </w:tc>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Batas bawah &gt; 1.0 (misal: 1.45 - 3.80)</w:t>
            </w:r>
          </w:p>
        </w:tc>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Faktor Risiko Signifikan (Meningkatkan risiko sakit secara bermakna).</w:t>
            </w:r>
          </w:p>
        </w:tc>
      </w:tr>
      <w:tr>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OR / RR &lt; 1.0</w:t>
            </w:r>
          </w:p>
        </w:tc>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Batas atas &lt; 1.0 (misal: 0.32 - 0.78)</w:t>
            </w:r>
          </w:p>
        </w:tc>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Faktor Protektif Signifikan (Menurunkan risiko sakit secara bermakna).</w:t>
            </w:r>
          </w:p>
        </w:tc>
      </w:tr>
      <w:tr>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OR / RR &gt; 1.0 atau &lt; 1.0</w:t>
            </w:r>
          </w:p>
        </w:tc>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Melewati angka 1.0 (misal: 0.82 - 2.45)</w:t>
            </w:r>
          </w:p>
        </w:tc>
        <w:tc>
          <w:tcPr>
            <w:tcW w:type="dxa" w:w="2646"/>
            <w:tcMar>
              <w:top w:w="120" w:type="dxa"/>
              <w:bottom w:w="120" w:type="dxa"/>
              <w:left w:w="140" w:type="dxa"/>
              <w:right w:w="140" w:type="dxa"/>
            </w:tcMar>
          </w:tcPr>
          <w:p>
            <w:pPr>
              <w:spacing w:line="240" w:lineRule="auto" w:after="40"/>
            </w:pPr>
            <w:r>
              <w:rPr>
                <w:rFonts w:ascii="Times New Roman" w:hAnsi="Times New Roman"/>
                <w:b w:val="0"/>
                <w:i w:val="0"/>
                <w:color w:val="000000"/>
                <w:sz w:val="20"/>
                <w:rFonts w:ascii="Times New Roman" w:hAnsi="Times New Roman" w:cs="Times New Roman" w:eastAsia="Times New Roman"/>
              </w:rPr>
              <w:t>Tidak Signifikan secara statistik (Hipotesis nol gagal ditolak).</w:t>
            </w:r>
          </w:p>
        </w:tc>
      </w:tr>
    </w:tbl>
    <w:p>
      <w:pPr>
        <w:keepNext/>
        <w:spacing w:before="240" w:after="80"/>
      </w:pPr>
      <w:r>
        <w:rPr>
          <w:rFonts w:ascii="Times New Roman" w:hAnsi="Times New Roman"/>
          <w:b/>
          <w:i w:val="0"/>
          <w:color w:val="000000"/>
          <w:sz w:val="24"/>
          <w:rFonts w:ascii="Times New Roman" w:hAnsi="Times New Roman" w:cs="Times New Roman" w:eastAsia="Times New Roman"/>
        </w:rPr>
        <w:t>3. Template Kalimat Pelaporan Bab 4 Skripsi FK</w:t>
      </w:r>
    </w:p>
    <w:p>
      <w:r>
        <w:rPr>
          <w:rFonts w:ascii="Times New Roman" w:hAnsi="Times New Roman"/>
          <w:b w:val="0"/>
          <w:i/>
          <w:color w:val="000000"/>
          <w:sz w:val="21"/>
          <w:rFonts w:ascii="Times New Roman" w:hAnsi="Times New Roman" w:cs="Times New Roman" w:eastAsia="Times New Roman"/>
        </w:rPr>
        <w:t>Contoh Pelaporan Baku:</w:t>
        <w:br/>
        <w:t>"Berdasarkan hasil analisis multivariat regresi logistik, pasien dengan riwayat diabetes melitus memiliki odds 2,45 kali lebih tinggi mengalami kejadian ulkus diabetikum dibandingkan pasien tanpa riwayat diabetes, dan hubungan ini signifikan secara statistik (OR = 2,45; 95% CI: 1,28 – 4,69; p = 0,007)."</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