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Fonts w:ascii="Times New Roman" w:hAnsi="Times New Roman" w:cs="Times New Roman" w:eastAsia="Times New Roman"/>
        </w:rPr>
        <w:t>PANDUAN MENULIS PEMBAHASAN HASIL TIDAK SIGNIFIKAN</w:t>
      </w:r>
    </w:p>
    <w:p>
      <w:pPr>
        <w:jc w:val="center"/>
      </w:pPr>
      <w:r>
        <w:rPr>
          <w:rFonts w:ascii="Times New Roman" w:hAnsi="Times New Roman"/>
          <w:b w:val="0"/>
          <w:i/>
          <w:color w:val="505050"/>
          <w:sz w:val="20"/>
          <w:rFonts w:ascii="Times New Roman" w:hAnsi="Times New Roman" w:cs="Times New Roman" w:eastAsia="Times New Roman"/>
        </w:rPr>
        <w:t>Strategi Penyusunan Bab 5 Skripsi FK untuk Temuan Riset p &gt; 0.05</w:t>
      </w:r>
    </w:p>
    <w:p>
      <w:pPr>
        <w:spacing w:after="240"/>
        <w:jc w:val="center"/>
      </w:pPr>
      <w:r>
        <w:rPr>
          <w:rFonts w:ascii="Times New Roman" w:hAnsi="Times New Roman"/>
          <w:b w:val="0"/>
          <w:i w:val="0"/>
          <w:color w:val="969696"/>
          <w:sz w:val="20"/>
          <w:rFonts w:ascii="Times New Roman" w:hAnsi="Times New Roman" w:cs="Times New Roman" w:eastAsia="Times New Roman"/>
        </w:rPr>
        <w:t>――――――――――――――――――――――――――――――――――――――――――――――――</w:t>
      </w:r>
    </w:p>
    <w:p>
      <w:pPr>
        <w:keepNext/>
        <w:spacing w:before="240" w:after="80"/>
      </w:pPr>
      <w:r>
        <w:rPr>
          <w:rFonts w:ascii="Times New Roman" w:hAnsi="Times New Roman"/>
          <w:b/>
          <w:i w:val="0"/>
          <w:color w:val="000000"/>
          <w:sz w:val="24"/>
          <w:rFonts w:ascii="Times New Roman" w:hAnsi="Times New Roman" w:cs="Times New Roman" w:eastAsia="Times New Roman"/>
        </w:rPr>
        <w:t>1. Paradigma Ilmiah Temuan Hasil Negatif (p &gt; 0.05)</w:t>
      </w:r>
    </w:p>
    <w:p>
      <w:r>
        <w:rPr>
          <w:rFonts w:ascii="Times New Roman" w:hAnsi="Times New Roman"/>
          <w:b w:val="0"/>
          <w:i w:val="0"/>
          <w:color w:val="000000"/>
          <w:sz w:val="22"/>
          <w:rFonts w:ascii="Times New Roman" w:hAnsi="Times New Roman" w:cs="Times New Roman" w:eastAsia="Times New Roman"/>
        </w:rPr>
        <w:t>Nilai p &gt; 0.05 (hipotesis nol gagal ditolak) bukanlah kegagalan penelitian. Dalam sains kedokteran, membuktikan bahwa suatu intervensi atau faktor risiko tidak berhubungan dengan luaran klinis memberikan kontribusi ilmiah yang sama pentingnya untuk mencegah bias publikasi.</w:t>
      </w:r>
    </w:p>
    <w:p>
      <w:pPr>
        <w:keepNext/>
        <w:spacing w:before="240" w:after="80"/>
      </w:pPr>
      <w:r>
        <w:rPr>
          <w:rFonts w:ascii="Times New Roman" w:hAnsi="Times New Roman"/>
          <w:b/>
          <w:i w:val="0"/>
          <w:color w:val="000000"/>
          <w:sz w:val="24"/>
          <w:rFonts w:ascii="Times New Roman" w:hAnsi="Times New Roman" w:cs="Times New Roman" w:eastAsia="Times New Roman"/>
        </w:rPr>
        <w:t>2. Kerangka 4 Langkah Menulis Pembahasan Bab 5</w:t>
      </w:r>
    </w:p>
    <w:p>
      <w:pPr>
        <w:keepNext/>
        <w:spacing w:before="160" w:after="60"/>
      </w:pPr>
      <w:r>
        <w:rPr>
          <w:rFonts w:ascii="Times New Roman" w:hAnsi="Times New Roman"/>
          <w:b/>
          <w:i/>
          <w:color w:val="000000"/>
          <w:sz w:val="23"/>
          <w:rFonts w:ascii="Times New Roman" w:hAnsi="Times New Roman" w:cs="Times New Roman" w:eastAsia="Times New Roman"/>
        </w:rPr>
        <w:t>Langkah 1: Komparasi Objektif</w:t>
      </w:r>
    </w:p>
    <w:p>
      <w:r>
        <w:rPr>
          <w:rFonts w:ascii="Times New Roman" w:hAnsi="Times New Roman"/>
          <w:b w:val="0"/>
          <w:i w:val="0"/>
          <w:color w:val="000000"/>
          <w:sz w:val="22"/>
          <w:rFonts w:ascii="Times New Roman" w:hAnsi="Times New Roman" w:cs="Times New Roman" w:eastAsia="Times New Roman"/>
        </w:rPr>
        <w:t>Bandingkan temuan penelitian dengan studi terdahulu yang memiliki kesimpulan serupa atau bertolak belakang.</w:t>
      </w:r>
    </w:p>
    <w:p>
      <w:pPr>
        <w:keepNext/>
        <w:spacing w:before="160" w:after="60"/>
      </w:pPr>
      <w:r>
        <w:rPr>
          <w:rFonts w:ascii="Times New Roman" w:hAnsi="Times New Roman"/>
          <w:b/>
          <w:i/>
          <w:color w:val="000000"/>
          <w:sz w:val="23"/>
          <w:rFonts w:ascii="Times New Roman" w:hAnsi="Times New Roman" w:cs="Times New Roman" w:eastAsia="Times New Roman"/>
        </w:rPr>
        <w:t>Langkah 2: Eksplorasi Mekanisme Biologis</w:t>
      </w:r>
    </w:p>
    <w:p>
      <w:r>
        <w:rPr>
          <w:rFonts w:ascii="Times New Roman" w:hAnsi="Times New Roman"/>
          <w:b w:val="0"/>
          <w:i w:val="0"/>
          <w:color w:val="000000"/>
          <w:sz w:val="22"/>
          <w:rFonts w:ascii="Times New Roman" w:hAnsi="Times New Roman" w:cs="Times New Roman" w:eastAsia="Times New Roman"/>
        </w:rPr>
        <w:t>Jelaskan kemungkinan jalur patofisiologi alternatif, kompensasi homeostasis tubuh, atau metabolisme farmakologis yang mendasari tidak munculnya efek.</w:t>
      </w:r>
    </w:p>
    <w:p>
      <w:pPr>
        <w:keepNext/>
        <w:spacing w:before="160" w:after="60"/>
      </w:pPr>
      <w:r>
        <w:rPr>
          <w:rFonts w:ascii="Times New Roman" w:hAnsi="Times New Roman"/>
          <w:b/>
          <w:i/>
          <w:color w:val="000000"/>
          <w:sz w:val="23"/>
          <w:rFonts w:ascii="Times New Roman" w:hAnsi="Times New Roman" w:cs="Times New Roman" w:eastAsia="Times New Roman"/>
        </w:rPr>
        <w:t>Langkah 3: Evaluasi Faktor Metodologi</w:t>
      </w:r>
    </w:p>
    <w:p>
      <w:r>
        <w:rPr>
          <w:rFonts w:ascii="Times New Roman" w:hAnsi="Times New Roman"/>
          <w:b w:val="0"/>
          <w:i w:val="0"/>
          <w:color w:val="000000"/>
          <w:sz w:val="22"/>
          <w:rFonts w:ascii="Times New Roman" w:hAnsi="Times New Roman" w:cs="Times New Roman" w:eastAsia="Times New Roman"/>
        </w:rPr>
        <w:t>Evaluasi apakah terdapat potensi keterbatasan besar sampel (underpowered study / Type II Error), rentang dosis paparan yang terlalu sempit, atau instrumen pengukuran.</w:t>
      </w:r>
    </w:p>
    <w:p>
      <w:pPr>
        <w:keepNext/>
        <w:spacing w:before="160" w:after="60"/>
      </w:pPr>
      <w:r>
        <w:rPr>
          <w:rFonts w:ascii="Times New Roman" w:hAnsi="Times New Roman"/>
          <w:b/>
          <w:i/>
          <w:color w:val="000000"/>
          <w:sz w:val="23"/>
          <w:rFonts w:ascii="Times New Roman" w:hAnsi="Times New Roman" w:cs="Times New Roman" w:eastAsia="Times New Roman"/>
        </w:rPr>
        <w:t>Langkah 4: Implikasi Klinis &amp; Saran Riset</w:t>
      </w:r>
    </w:p>
    <w:p>
      <w:r>
        <w:rPr>
          <w:rFonts w:ascii="Times New Roman" w:hAnsi="Times New Roman"/>
          <w:b w:val="0"/>
          <w:i w:val="0"/>
          <w:color w:val="000000"/>
          <w:sz w:val="22"/>
          <w:rFonts w:ascii="Times New Roman" w:hAnsi="Times New Roman" w:cs="Times New Roman" w:eastAsia="Times New Roman"/>
        </w:rPr>
        <w:t>Tegaskan implikasi hasil ini bagi praktik medis dan sarankan metodologi perbaikan untuk penelitian multisenter berikutnya.</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