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929"/>
          <w:sz w:val="20"/>
        </w:rPr>
        <w:t>NASKAH.FK — DOSPEM COMMUNICATION SUITE</w:t>
        <w:br/>
      </w:r>
      <w:r>
        <w:rPr>
          <w:b/>
          <w:color w:val="071726"/>
          <w:sz w:val="30"/>
        </w:rPr>
        <w:t>Lembar Ringkasan Progres &amp; Tindak Lanjut Revisi (1-Page Summary)</w:t>
      </w:r>
    </w:p>
    <w:p>
      <w:r>
        <w:t>Lampirkan lembar ini di halaman terdepan setiap kali mengirimkan draft naskah revisi kepada Dosen Pembimbing.</w:t>
      </w:r>
    </w:p>
    <w:p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t>I. IDENTITAS BIMBINGAN</w:t>
      </w:r>
    </w:p>
    <w:p>
      <w:r>
        <w:t>Nama Mahasiswa / NIM : [Nama Lengkap] / [NIM]</w:t>
        <w:br/>
      </w:r>
      <w:r>
        <w:t>Dosen Pembimbing I    : [Nama &amp; Gelar Dospem Utama]</w:t>
        <w:br/>
      </w:r>
      <w:r>
        <w:t>Dosen Pembimbing II   : [Nama &amp; Gelar Dospem Pendamping]</w:t>
        <w:br/>
      </w:r>
      <w:r>
        <w:t>Tahap Naskah          : Revisi Proposal / Revisi Bab 4-5 / Pra-Sidang</w:t>
        <w:br/>
      </w:r>
      <w:r>
        <w:t>Tanggal Penyerahan    : [DD Bulan YYYY]</w:t>
      </w:r>
    </w:p>
    <w:p>
      <w:pPr>
        <w:pStyle w:val="Heading2"/>
      </w:pPr>
      <w:r>
        <w:t>II. MATRIKS TINDAK LANJUT REVISI SEBELUMNYA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Catatan Dospem Sebelumnya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Halaman / Bab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Tindakan Perbaikan &amp; Referensi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Perjelas kriteria eksklusi pasien komorbid DM.</w:t>
            </w:r>
          </w:p>
        </w:tc>
        <w:tc>
          <w:tcPr>
            <w:tcW w:type="dxa" w:w="2340"/>
          </w:tcPr>
          <w:p>
            <w:r>
              <w:t>Bab 3 (Hal. 28)</w:t>
            </w:r>
          </w:p>
        </w:tc>
        <w:tc>
          <w:tcPr>
            <w:tcW w:type="dxa" w:w="2340"/>
          </w:tcPr>
          <w:p>
            <w:r>
              <w:t>Ditambahkan 3 kriteria eksklusi spesifik berdasarkan konsensus PERKENI 2021.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Tabel karakteristik subjek belum mencantumkan nilai persentase.</w:t>
            </w:r>
          </w:p>
        </w:tc>
        <w:tc>
          <w:tcPr>
            <w:tcW w:type="dxa" w:w="2340"/>
          </w:tcPr>
          <w:p>
            <w:r>
              <w:t>Bab 4 (Hal. 42)</w:t>
            </w:r>
          </w:p>
        </w:tc>
        <w:tc>
          <w:tcPr>
            <w:tcW w:type="dxa" w:w="2340"/>
          </w:tcPr>
          <w:p>
            <w:r>
              <w:t>Tabel 4.1 direvisi dengan menyertakan frekuensi (n) dan persentase (%) lengkap.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Pembahasan uji bivariat masih mengulang hasil angka tabel.</w:t>
            </w:r>
          </w:p>
        </w:tc>
        <w:tc>
          <w:tcPr>
            <w:tcW w:type="dxa" w:w="2340"/>
          </w:tcPr>
          <w:p>
            <w:r>
              <w:t>Bab 5 (Hal. 55-58)</w:t>
            </w:r>
          </w:p>
        </w:tc>
        <w:tc>
          <w:tcPr>
            <w:tcW w:type="dxa" w:w="2340"/>
          </w:tcPr>
          <w:p>
            <w:r>
              <w:t>Paragraf pembahasan direstrukturisasi menggunakan pola 3-Tier (Temuan -&gt; Komparasi Riset Lain -&gt; Mekanisme Patofisiologi).</w:t>
            </w:r>
          </w:p>
        </w:tc>
      </w:tr>
    </w:tbl>
    <w:p>
      <w:pPr>
        <w:pStyle w:val="Heading2"/>
      </w:pPr>
      <w:r>
        <w:t>III. POIN KRITIS YANG DIMOHONKAN ARAHAN HARI INI</w:t>
      </w:r>
    </w:p>
    <w:p>
      <w:r>
        <w:t>1. Konfirmasi kelayakan uji normalitas Shapiro-Wilk pada subjek n=45.</w:t>
        <w:br/>
      </w:r>
      <w:r>
        <w:t>2. Rekomendasi apakah analisis multivariat perlu menyertakan variabel usia sebagai confounder.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