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929"/>
          <w:sz w:val="20"/>
        </w:rPr>
        <w:t>NASKAH.FK — QUALITY ASSURANCE GATE</w:t>
        <w:br/>
      </w:r>
      <w:r>
        <w:rPr>
          <w:b/>
          <w:color w:val="071726"/>
          <w:sz w:val="30"/>
        </w:rPr>
        <w:t>Checklist 10 Poin Verifikasi Mandiri Skripsi FK Sebelum Kirim Draft</w:t>
      </w:r>
    </w:p>
    <w:p>
      <w:r>
        <w:t>Lakukan self-audit pada 10 poin kritis ini untuk mencegah pembantaian saat bimbingan dan sidang semhas.</w:t>
      </w:r>
    </w:p>
    <w:p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[  ] 01. Sinkronisasi Sampel N: </w:t>
      </w:r>
      <w:r>
        <w:t>Jumlah sampel di Bab 3 (metodologi), Bab 4 (tabel karakteristik), dan Bab 5 (pembahasan) wajib sama persis tanpa ada drop-out yang tidak terjelaskan.</w:t>
      </w:r>
    </w:p>
    <w:p>
      <w:r>
        <w:rPr>
          <w:b/>
        </w:rPr>
        <w:t xml:space="preserve">[  ] 02. Format P-Value Eksak: </w:t>
      </w:r>
      <w:r>
        <w:t>Tuliskan nilai P secara eksak (contoh: P = 0,028), BUKAN P &lt; 0,05 atau P = 0,000 (jika SPSS menampilkan 0.000, tuliskan P &lt; 0,001).</w:t>
      </w:r>
    </w:p>
    <w:p>
      <w:r>
        <w:rPr>
          <w:b/>
        </w:rPr>
        <w:t xml:space="preserve">[  ] 03. Confidence Interval 95%: </w:t>
      </w:r>
      <w:r>
        <w:t>Setiap Odds Ratio (OR), Relative Risk (RR), atau beda rerata wajib disertai rentang 95% CI (contoh: OR = 2,45; 95% CI 1,20 - 4,80).</w:t>
      </w:r>
    </w:p>
    <w:p>
      <w:r>
        <w:rPr>
          <w:b/>
        </w:rPr>
        <w:t xml:space="preserve">[  ] 04. Konsistensi Gaya Sitasi: </w:t>
      </w:r>
      <w:r>
        <w:t>Pastikan gaya sitasi seragam (Vancouver berurutan sesuai nomor kemunculan, atau APA berurutan abjad) dari Bab 1 hingga Daftar Pustaka.</w:t>
      </w:r>
    </w:p>
    <w:p>
      <w:r>
        <w:rPr>
          <w:b/>
        </w:rPr>
        <w:t xml:space="preserve">[  ] 05. Keterangan Singkatan Tabel: </w:t>
      </w:r>
      <w:r>
        <w:t>Semua singkatan medis pada tabel (misal: Hb, SGOT, GDS, HT) wajib diberi catatan kaki keterangan di bawah tabel terkait.</w:t>
      </w:r>
    </w:p>
    <w:p>
      <w:r>
        <w:rPr>
          <w:b/>
        </w:rPr>
        <w:t xml:space="preserve">[  ] 06. Uji Normalitas &amp; Uji Prasyarat: </w:t>
      </w:r>
      <w:r>
        <w:t>Uji parametrik (seperti Independent T-test / ANOVA) wajib disertai bukti uji normalitas (Shapiro-Wilk untuk n&lt;50 atau Kolmogorov-Smirnov untuk n&gt;=50).</w:t>
      </w:r>
    </w:p>
    <w:p>
      <w:r>
        <w:rPr>
          <w:b/>
        </w:rPr>
        <w:t xml:space="preserve">[  ] 07. Keterpaduan Benang Merah: </w:t>
      </w:r>
      <w:r>
        <w:t>Rumusan masalah di Bab 1, tabel hasil di Bab 4, dan poin kesimpulan di Bab 5 wajib memiliki jumlah dan urutan yang identik.</w:t>
      </w:r>
    </w:p>
    <w:p>
      <w:r>
        <w:rPr>
          <w:b/>
        </w:rPr>
        <w:t xml:space="preserve">[  ] 08. Pembahasan Pola 3-Tier: </w:t>
      </w:r>
      <w:r>
        <w:t>Paragraf Bab 5 tidak boleh sekadar mengulang angka tabel, tetapi wajib menjelaskan: Temuan Utama -&gt; Komparasi Riset Lain -&gt; Mekanisme Biologis/Patofisiologi.</w:t>
      </w:r>
    </w:p>
    <w:p>
      <w:r>
        <w:rPr>
          <w:b/>
        </w:rPr>
        <w:t xml:space="preserve">[  ] 09. Keterbatasan Penelitian (Study Limitations): </w:t>
      </w:r>
      <w:r>
        <w:t>Bab 5 wajib memuat 2-3 limitasi metodologis riil (misal: potensi recall bias, desain cross-sectional tidak buktikan kausalitas) sebagai tanda kedewasaan akademik.</w:t>
      </w:r>
    </w:p>
    <w:p>
      <w:r>
        <w:rPr>
          <w:b/>
        </w:rPr>
        <w:t xml:space="preserve">[  ] 10. Bebas Typo Istilah Medis Latin: </w:t>
      </w:r>
      <w:r>
        <w:t>Semua nama latin bakteri, virus, atau istilah anatomis wajib dicetak miring (Italic), contoh: *Staphylococcus aureus*, *in vitro*, *post-partum*.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