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929"/>
          <w:sz w:val="20"/>
        </w:rPr>
        <w:t>NASKAH.FK — LITERATURE SEARCH ENGINE</w:t>
        <w:br/>
      </w:r>
      <w:r>
        <w:rPr>
          <w:b/>
          <w:color w:val="071726"/>
          <w:sz w:val="30"/>
        </w:rPr>
        <w:t>Cheatsheet Formula MeSH Search String &amp; Boolean PubMed / Scopus</w:t>
      </w:r>
    </w:p>
    <w:p>
      <w:r>
        <w:t>Kumpulan formula string pencarian literatur internasional bereputasi untuk Bab 2 dan Tinjauan Pustaka.</w:t>
      </w:r>
    </w:p>
    <w:p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t>1. Anatomi Formula Pencarian Medis (PICO to MeSH)</w:t>
      </w:r>
    </w:p>
    <w:p>
      <w:r>
        <w:t>Untuk mendapatkan jurnal relevan tanpa tercampur ribuan artikel sampah, susun string menggunakan operator boolean baku:</w:t>
        <w:br/>
        <w:t>• AND  : Menggabungkan antar-komponen PICO (mempersempit hasil).</w:t>
        <w:br/>
        <w:t>• OR   : Menggabungkan sinonim / kata kunci sejenis (memperluas hasil).</w:t>
        <w:br/>
        <w:t>• NOT  : Mengecualikan topik yang tidak diinginkan (misal: NOT animals).</w:t>
        <w:br/>
        <w:t>• [Mesh] : Mengunci istilah baku Medical Subject Headings resmi NLM.</w:t>
        <w:br/>
        <w:t>• [tiab] : Mencari kata kunci spesifik pada Title dan Abstract.</w:t>
      </w:r>
    </w:p>
    <w:p>
      <w:pPr>
        <w:pStyle w:val="Heading1"/>
      </w:pPr>
      <w:r>
        <w:t>2. 5 Template Search String Siap Copy-Paste ke PubMed</w:t>
      </w:r>
    </w:p>
    <w:p>
      <w:r>
        <w:rPr>
          <w:b/>
        </w:rPr>
        <w:t>A. Topik Biomarker &amp; Uji Diagnostik (Contoh: Preeklamsia)</w:t>
        <w:br/>
      </w:r>
    </w:p>
    <w:p>
      <w:pPr>
        <w:ind w:left="288"/>
      </w:pPr>
      <w:r>
        <w:rPr>
          <w:rFonts w:ascii="Consolas" w:hAnsi="Consolas"/>
          <w:color w:val="071726"/>
          <w:sz w:val="19"/>
        </w:rPr>
        <w:t>("Pre-Eclampsia"[Mesh] OR "Preeclampsia"[tiab] OR "gestational hypertension"[tiab]) AND ("Biomarkers"[Mesh] OR "sFlt-1"[tiab] OR "PlGF"[tiab]) AND ("Sensitivity and Specificity"[Mesh] OR "ROC Curve"[Mesh] OR "diagnostic accuracy"[tiab])</w:t>
      </w:r>
    </w:p>
    <w:p>
      <w:r>
        <w:rPr>
          <w:b/>
        </w:rPr>
        <w:t>B. Topik Farmakoterapi / Uji Klinis (Contoh: Diabetes Melitus Tipe 2)</w:t>
        <w:br/>
      </w:r>
    </w:p>
    <w:p>
      <w:pPr>
        <w:ind w:left="288"/>
      </w:pPr>
      <w:r>
        <w:rPr>
          <w:rFonts w:ascii="Consolas" w:hAnsi="Consolas"/>
          <w:color w:val="071726"/>
          <w:sz w:val="19"/>
        </w:rPr>
        <w:t>("Diabetes Mellitus, Type 2"[Mesh] OR "T2DM"[tiab]) AND ("Sodium-Glucose Transporter 2 Inhibitors"[Mesh] OR "SGLT2 inhibitors"[tiab] OR "empagliflozin"[tiab]) AND ("Cardiovascular Diseases"[Mesh] OR "cardiovascular outcomes"[tiab]) AND ("Randomized Controlled Trial"[ptyp])</w:t>
      </w:r>
    </w:p>
    <w:p>
      <w:r>
        <w:rPr>
          <w:b/>
        </w:rPr>
        <w:t>C. Topik Faktor Risiko Penyakit Kronis / Case-Control (Contoh: Kanker Paru)</w:t>
        <w:br/>
      </w:r>
    </w:p>
    <w:p>
      <w:pPr>
        <w:ind w:left="288"/>
      </w:pPr>
      <w:r>
        <w:rPr>
          <w:rFonts w:ascii="Consolas" w:hAnsi="Consolas"/>
          <w:color w:val="071726"/>
          <w:sz w:val="19"/>
        </w:rPr>
        <w:t>("Lung Neoplasms"[Mesh] OR "lung cancer"[tiab]) AND ("Smoking"[Mesh] OR "tobacco smoke pollution"[Mesh] OR "secondhand smoke"[tiab]) AND ("Risk Factors"[Mesh] OR "Odds Ratio"[tiab] OR "case-control studies"[Mesh])</w:t>
      </w:r>
    </w:p>
    <w:p>
      <w:r>
        <w:rPr>
          <w:b/>
        </w:rPr>
        <w:t>D. Topik Kesehatan Anak &amp; Nutrisi (Contoh: Stunting)</w:t>
        <w:br/>
      </w:r>
    </w:p>
    <w:p>
      <w:pPr>
        <w:ind w:left="288"/>
      </w:pPr>
      <w:r>
        <w:rPr>
          <w:rFonts w:ascii="Consolas" w:hAnsi="Consolas"/>
          <w:color w:val="071726"/>
          <w:sz w:val="19"/>
        </w:rPr>
        <w:t>("Growth Disorders"[Mesh] OR "Stunting"[tiab] OR "stunted growth"[tiab]) AND ("Infant"[Mesh] OR "Child, Preschool"[Mesh] OR "toddler"[tiab]) AND ("Exclusive Breastfeeding"[Mesh] OR "complementary feeding"[tiab] OR "dietary diversity"[tiab])</w:t>
      </w:r>
    </w:p>
    <w:p>
      <w:r>
        <w:rPr>
          <w:b/>
        </w:rPr>
        <w:t>E. Topik Infeksi Tropis &amp; Penyakit Menular (Contoh: Demam Berdarah Dengue)</w:t>
        <w:br/>
      </w:r>
    </w:p>
    <w:p>
      <w:pPr>
        <w:ind w:left="288"/>
      </w:pPr>
      <w:r>
        <w:rPr>
          <w:rFonts w:ascii="Consolas" w:hAnsi="Consolas"/>
          <w:color w:val="071726"/>
          <w:sz w:val="19"/>
        </w:rPr>
        <w:t>("Dengue"[Mesh] OR "severe dengue"[tiab] OR "dengue hemorrhagic fever"[tiab]) AND ("Early Diagnosis"[Mesh] OR "NS1 antigen"[tiab] OR "warning signs"[tiab]) AND ("Disease Progression"[Mesh] OR "plasma leakage"[tiab])</w:t>
      </w:r>
    </w:p>
    <w:p>
      <w:pPr>
        <w:pStyle w:val="Heading1"/>
      </w:pPr>
      <w:r>
        <w:t>3. Filter Wajib PubMed untuk Skripsi FK</w:t>
      </w:r>
    </w:p>
    <w:p>
      <w:r>
        <w:t>Centang filter pada sidebar kiri PubMed:</w:t>
        <w:br/>
        <w:t>1. Publication Date: 5 years atau 10 years.</w:t>
        <w:br/>
        <w:t>2. Species: Humans.</w:t>
        <w:br/>
        <w:t>3. Article Type: Systematic Review, Meta-Analysis, Randomized Controlled Trial, atau Clinical Trial.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