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jc w:val="right"/>
      </w:pPr>
      <w:r>
        <w:rPr>
          <w:rFonts w:ascii="Times New Roman" w:hAnsi="Times New Roman"/>
          <w:b/>
          <w:i w:val="0"/>
          <w:sz w:val="22"/>
        </w:rPr>
        <w:t>Research Article</w:t>
      </w:r>
    </w:p>
    <w:p>
      <w:pPr>
        <w:spacing w:after="240" w:before="0" w:line="276" w:lineRule="auto"/>
        <w:jc w:val="center"/>
      </w:pPr>
      <w:r>
        <w:rPr>
          <w:rFonts w:ascii="Times New Roman" w:hAnsi="Times New Roman"/>
          <w:b/>
          <w:i w:val="0"/>
          <w:sz w:val="28"/>
        </w:rPr>
        <w:t>Effectiveness of Interventions to Reduce Non-Prescription Antibiotic Dispensing in LMIC Pharmacies: Meta-Analysis</w:t>
      </w:r>
    </w:p>
    <w:p>
      <w:pPr>
        <w:spacing w:after="80" w:before="0" w:line="276" w:lineRule="auto"/>
        <w:jc w:val="center"/>
      </w:pPr>
      <w:r>
        <w:rPr>
          <w:rFonts w:ascii="Times New Roman" w:hAnsi="Times New Roman"/>
          <w:b/>
          <w:sz w:val="22"/>
        </w:rPr>
        <w:t>Tengku Muhammad Lufthi Hannur</w:t>
      </w:r>
      <w:r>
        <w:rPr>
          <w:rFonts w:ascii="Times New Roman" w:hAnsi="Times New Roman"/>
          <w:b/>
          <w:sz w:val="20"/>
          <w:vertAlign w:val="superscript"/>
        </w:rPr>
        <w:t>1*</w:t>
      </w:r>
    </w:p>
    <w:p>
      <w:pPr>
        <w:spacing w:after="40" w:before="0" w:line="276" w:lineRule="auto"/>
        <w:jc w:val="center"/>
      </w:pPr>
      <w:r>
        <w:rPr>
          <w:rFonts w:ascii="Times New Roman" w:hAnsi="Times New Roman"/>
          <w:sz w:val="17"/>
          <w:vertAlign w:val="superscript"/>
        </w:rPr>
        <w:t xml:space="preserve">1 </w:t>
      </w:r>
      <w:r>
        <w:rPr>
          <w:rFonts w:ascii="Times New Roman" w:hAnsi="Times New Roman"/>
          <w:sz w:val="19"/>
        </w:rPr>
        <w:t>Study Program of Medicine, Faculty of Medicine, Universitas Islam Sumatera Utara, Medan, North Sumatra, Indonesia</w:t>
      </w:r>
    </w:p>
    <w:p>
      <w:pPr>
        <w:spacing w:after="320" w:before="0" w:line="276" w:lineRule="auto"/>
        <w:jc w:val="center"/>
      </w:pPr>
      <w:r>
        <w:rPr>
          <w:rFonts w:ascii="Times New Roman" w:hAnsi="Times New Roman"/>
          <w:b w:val="0"/>
          <w:i/>
          <w:sz w:val="18"/>
        </w:rPr>
        <w:t>* Corresponding Author: Tengku Muhammad Lufthi Hannur | Email: tengkumuhammadlufthihannur@fk.uisu.ac.id | WhatsApp: +62 822-6740-3241 | ORCID: https://orcid.org/0009-0008-1306-2485</w:t>
      </w:r>
    </w:p>
    <w:p>
      <w:r>
        <w:br w:type="page"/>
      </w:r>
    </w:p>
    <w:p>
      <w:pPr>
        <w:spacing w:after="120" w:before="0" w:line="276" w:lineRule="auto"/>
      </w:pPr>
      <w:r>
        <w:rPr>
          <w:rFonts w:ascii="Times New Roman" w:hAnsi="Times New Roman"/>
          <w:b/>
          <w:i w:val="0"/>
          <w:sz w:val="22"/>
        </w:rPr>
        <w:t>ABSTRACT</w:t>
      </w:r>
    </w:p>
    <w:p>
      <w:pPr>
        <w:spacing w:line="276" w:lineRule="auto" w:after="120"/>
        <w:jc w:val="both"/>
      </w:pPr>
      <w:r>
        <w:rPr>
          <w:rFonts w:ascii="Times New Roman" w:hAnsi="Times New Roman"/>
          <w:b/>
          <w:sz w:val="21"/>
        </w:rPr>
        <w:t xml:space="preserve">Background: </w:t>
      </w:r>
      <w:r>
        <w:rPr>
          <w:rFonts w:ascii="Times New Roman" w:hAnsi="Times New Roman"/>
          <w:sz w:val="21"/>
        </w:rPr>
        <w:t xml:space="preserve">Non-prescription antibiotic dispensing (NPD) in community pharmacies contributes to antimicrobial resistance, yet no quantitative review has pooled intervention effect estimates specifically from private community pharmacies in low- and middle-income countries (LMICs). </w:t>
      </w:r>
    </w:p>
    <w:p>
      <w:pPr>
        <w:spacing w:line="276" w:lineRule="auto" w:after="120"/>
        <w:jc w:val="both"/>
      </w:pPr>
      <w:r>
        <w:rPr>
          <w:rFonts w:ascii="Times New Roman" w:hAnsi="Times New Roman"/>
          <w:b/>
          <w:sz w:val="21"/>
        </w:rPr>
        <w:t xml:space="preserve">Methods: </w:t>
      </w:r>
      <w:r>
        <w:rPr>
          <w:rFonts w:ascii="Times New Roman" w:hAnsi="Times New Roman"/>
          <w:sz w:val="21"/>
        </w:rPr>
        <w:t xml:space="preserve">We conducted a systematic review and meta-analysis following PRISMA 2020 guidelines. PubMed, OpenAlex, and the Cochrane Central Register of Controlled Trials were searched up to September 2026. Eligible studies were controlled intervention studies evaluating interventions to reduce NPD in private community pharmacies in LMICs, with outcomes assessed by unannounced simulated client methods. Cluster-adjusted odds ratios were pooled using a random-effects model with the DerSimonian-Laird estimator and inverse-variance weighting. A Hartung-Knapp-Sidik-Jonkman sensitivity analysis was performed to assess the robustness of the confidence interval given the small number of included studies. </w:t>
      </w:r>
    </w:p>
    <w:p>
      <w:pPr>
        <w:spacing w:line="276" w:lineRule="auto" w:after="120"/>
        <w:jc w:val="both"/>
      </w:pPr>
      <w:r>
        <w:rPr>
          <w:rFonts w:ascii="Times New Roman" w:hAnsi="Times New Roman"/>
          <w:b/>
          <w:sz w:val="21"/>
        </w:rPr>
        <w:t xml:space="preserve">Results: </w:t>
      </w:r>
      <w:r>
        <w:rPr>
          <w:rFonts w:ascii="Times New Roman" w:hAnsi="Times New Roman"/>
          <w:sz w:val="21"/>
        </w:rPr>
        <w:t xml:space="preserve">Three controlled studies from Vietnam, Nigeria, and Indonesia met eligibility criteria (k = 3; 345 pharmacies; 1,683 simulated client encounters). The odds of NPD were 83.6% lower in intervention pharmacies compared with control pharmacies (pooled OR = 0.164; 95% CI: 0.102 to 0.265; Z = -7.38; p &lt; 0.0001). The Hartung-Knapp-Sidik-Jonkman method yielded a wider interval (OR = 0.164; 95% CI: 0.064 to 0.419; t(2) = -8.31, p = 0.014). Statistical heterogeneity was not detected (I-squared = 0.0%; Q = 1.58, df = 2, p = 0.454). </w:t>
      </w:r>
    </w:p>
    <w:p>
      <w:pPr>
        <w:spacing w:line="276" w:lineRule="auto" w:after="120"/>
        <w:jc w:val="both"/>
      </w:pPr>
      <w:r>
        <w:rPr>
          <w:rFonts w:ascii="Times New Roman" w:hAnsi="Times New Roman"/>
          <w:b/>
          <w:sz w:val="21"/>
        </w:rPr>
        <w:t xml:space="preserve">Conclusion: </w:t>
      </w:r>
      <w:r>
        <w:rPr>
          <w:rFonts w:ascii="Times New Roman" w:hAnsi="Times New Roman"/>
          <w:sz w:val="21"/>
        </w:rPr>
        <w:t>To our knowledge, this is the first meta-analysis to pool controlled intervention data on NPD interventions from private community pharmacies in LMICs. Multifaceted interventions combining dispenser education, rapid diagnostic testing, and peer supervision were associated with lower odds of non-prescription antibiotic dispensing.</w:t>
      </w:r>
    </w:p>
    <w:p>
      <w:pPr>
        <w:spacing w:after="280"/>
      </w:pPr>
      <w:r>
        <w:rPr>
          <w:rFonts w:ascii="Times New Roman" w:hAnsi="Times New Roman"/>
          <w:b/>
          <w:sz w:val="19"/>
        </w:rPr>
        <w:t xml:space="preserve">Keywords: </w:t>
      </w:r>
      <w:r>
        <w:rPr>
          <w:rFonts w:ascii="Times New Roman" w:hAnsi="Times New Roman"/>
          <w:sz w:val="19"/>
        </w:rPr>
        <w:t>Antimicrobial Resistance; Community Pharmacy; Non-Prescription Antibiotic Dispensing; Meta-Analysis; Low- and Middle-Income Countries</w:t>
      </w:r>
    </w:p>
    <w:p>
      <w:r>
        <w:br w:type="page"/>
      </w:r>
    </w:p>
    <w:p>
      <w:pPr>
        <w:spacing w:after="120" w:before="120" w:line="276" w:lineRule="auto"/>
      </w:pPr>
      <w:r>
        <w:rPr>
          <w:rFonts w:ascii="Times New Roman" w:hAnsi="Times New Roman"/>
          <w:b/>
          <w:i w:val="0"/>
          <w:sz w:val="24"/>
        </w:rPr>
        <w:t>Introduction</w:t>
      </w:r>
    </w:p>
    <w:p>
      <w:pPr>
        <w:spacing w:after="120" w:before="0" w:line="276" w:lineRule="auto"/>
        <w:jc w:val="both"/>
      </w:pPr>
      <w:r>
        <w:rPr>
          <w:rFonts w:ascii="Times New Roman" w:hAnsi="Times New Roman"/>
          <w:b w:val="0"/>
          <w:i w:val="0"/>
          <w:sz w:val="22"/>
        </w:rPr>
        <w:t>Antimicrobial resistance (AMR) was associated with an estimated 4.95 million deaths in 2019, and the burden falls disproportionately on low- and middle-income countries (LMICs). One modifiable contributor to this burden is non-prescription antibiotic dispensing (NPD), defined here as the sale of prescription-only systemic antibiotics by private retail drug outlets without a valid prescription. In many LMICs, private community pharmacies are the first point of care for common illnesses because they are close to patients' homes, involve no appointment, and avoid the consultation fees charged by formal health facilities.</w:t>
      </w:r>
    </w:p>
    <w:p>
      <w:pPr>
        <w:spacing w:after="120" w:before="0" w:line="276" w:lineRule="auto"/>
        <w:jc w:val="both"/>
      </w:pPr>
      <w:r>
        <w:rPr>
          <w:rFonts w:ascii="Times New Roman" w:hAnsi="Times New Roman"/>
          <w:b w:val="0"/>
          <w:i w:val="0"/>
          <w:sz w:val="22"/>
        </w:rPr>
        <w:t>Earlier reviews have assessed interventions aimed at improving antibiotic dispensing in developing countries, but they faced important limitations. Afari-Asiedu et al. (2022) provided a narrative synthesis only, because heterogeneity across studies prevented quantitative pooling. The Cochrane review (2025) likewise could not pool effect estimates owing to differences in design and setting. Both reviews combined public facilities, such as primary health centres and government clinics, with private retail pharmacies. Yet private and public outlets operate under different pressures. Private pharmacies depend on customer sales, face competition, and are subject to weaker regulatory oversight, so their dispensing behaviour may not respond to interventions in the same way as public facilities.</w:t>
      </w:r>
    </w:p>
    <w:p>
      <w:pPr>
        <w:spacing w:after="240" w:before="0" w:line="276" w:lineRule="auto"/>
        <w:jc w:val="both"/>
      </w:pPr>
      <w:r>
        <w:rPr>
          <w:rFonts w:ascii="Times New Roman" w:hAnsi="Times New Roman"/>
          <w:b w:val="0"/>
          <w:i w:val="0"/>
          <w:sz w:val="22"/>
        </w:rPr>
        <w:t>We therefore conducted a systematic review and meta-analysis restricted to controlled studies of interventions to reduce NPD in private community pharmacies in LMICs. By focusing on a single sector and on outcomes measured with unannounced simulated client methods, we aimed to obtain a pooled estimate that accounts for clustering and that can inform antibiotic stewardship policy at the community level.</w:t>
      </w:r>
    </w:p>
    <w:p>
      <w:pPr>
        <w:spacing w:after="120" w:before="120" w:line="276" w:lineRule="auto"/>
      </w:pPr>
      <w:r>
        <w:rPr>
          <w:rFonts w:ascii="Times New Roman" w:hAnsi="Times New Roman"/>
          <w:b/>
          <w:i w:val="0"/>
          <w:sz w:val="24"/>
        </w:rPr>
        <w:t>Methods</w:t>
      </w:r>
    </w:p>
    <w:p>
      <w:pPr>
        <w:spacing w:after="120" w:before="0" w:line="276" w:lineRule="auto"/>
        <w:jc w:val="both"/>
      </w:pPr>
      <w:r>
        <w:rPr>
          <w:rFonts w:ascii="Times New Roman" w:hAnsi="Times New Roman"/>
          <w:b w:val="0"/>
          <w:i w:val="0"/>
          <w:sz w:val="22"/>
        </w:rPr>
        <w:t>Study Design and Protocol: This systematic review and meta-analysis followed the Preferred Reporting Items for Systematic Reviews and Meta-Analyses (PRISMA 2020) checklist.</w:t>
      </w:r>
    </w:p>
    <w:p>
      <w:pPr>
        <w:spacing w:after="120" w:before="0" w:line="276" w:lineRule="auto"/>
        <w:jc w:val="both"/>
      </w:pPr>
      <w:r>
        <w:rPr>
          <w:rFonts w:ascii="Times New Roman" w:hAnsi="Times New Roman"/>
          <w:b w:val="0"/>
          <w:i w:val="0"/>
          <w:sz w:val="22"/>
        </w:rPr>
        <w:t>Eligibility Criteria: Studies were eligible when they (1) were conducted in private community pharmacies or private retail drug shops in World Bank-classified LMICs; (2) evaluated an educational, managerial, diagnostic, or regulatory intervention targeting antibiotic dispensing; (3) included a concurrent comparison group, that is, a cluster-randomised trial or a controlled before-after study; (4) measured non-prescription antibiotic dispensing quantitatively using unannounced simulated client methods; and (5) reported cluster-adjusted effect estimates or the data needed to calculate them. Studies conducted in public health posts, hospital outpatient clinics, or without a control group were excluded.</w:t>
      </w:r>
    </w:p>
    <w:p>
      <w:pPr>
        <w:spacing w:after="120" w:before="0" w:line="276" w:lineRule="auto"/>
        <w:jc w:val="both"/>
      </w:pPr>
      <w:r>
        <w:rPr>
          <w:rFonts w:ascii="Times New Roman" w:hAnsi="Times New Roman"/>
          <w:b w:val="0"/>
          <w:i w:val="0"/>
          <w:sz w:val="22"/>
        </w:rPr>
        <w:t>Information Sources and Search Strategy: We searched PubMed, OpenAlex, and the Cochrane Central Register of Controlled Trials (CENTRAL) up to September 2026. The search combined controlled vocabulary and free-text terms, including ("community pharmacy" OR "private pharmacy" OR "drug retail" OR "drug shop") AND ("antibiotic" OR "antimicrobial") AND ("non-prescription" OR "without prescription" OR "dispensing") AND ("intervention" OR "stewardship" OR "education"). We also performed backward and forward citation tracking of included trials and of earlier systematic reviews. Searching was restricted to these three sources; non-indexed regional studies not captured in these databases may have been omitted.</w:t>
      </w:r>
    </w:p>
    <w:p>
      <w:pPr>
        <w:spacing w:after="120" w:before="0" w:line="276" w:lineRule="auto"/>
        <w:jc w:val="both"/>
      </w:pPr>
      <w:r>
        <w:rPr>
          <w:rFonts w:ascii="Times New Roman" w:hAnsi="Times New Roman"/>
          <w:b w:val="0"/>
          <w:i w:val="0"/>
          <w:sz w:val="22"/>
        </w:rPr>
        <w:t>Study Selection and Data Extraction: Records were screened by title and abstract and then assessed in full text against the eligibility criteria. Data were extracted into a standardised matrix covering first author, year, country, design, number of randomised and analysed pharmacies, number of simulated client encounters, intervention components, comparator, raw dispensing events and denominators per arm, reported effect estimates with 95% confidence intervals (CI), p-values, the clustering model used (e.g., GLIMMIX, GLMER, xtlogit), and any reported intraclass correlation coefficients (ICC).</w:t>
      </w:r>
    </w:p>
    <w:p>
      <w:pPr>
        <w:spacing w:after="120" w:before="0" w:line="276" w:lineRule="auto"/>
        <w:jc w:val="both"/>
      </w:pPr>
      <w:r>
        <w:rPr>
          <w:rFonts w:ascii="Times New Roman" w:hAnsi="Times New Roman"/>
          <w:b w:val="0"/>
          <w:i w:val="0"/>
          <w:sz w:val="22"/>
        </w:rPr>
        <w:t>Risk of Bias Assessment: Risk of bias was assessed with the revised Cochrane risk-of-bias tool for cluster-randomised trials (RoB 2) and, for quasi-experimental studies, with the Risk Of Bias In Non-randomised Studies of Interventions (ROBINS-I) tool.</w:t>
      </w:r>
    </w:p>
    <w:p>
      <w:pPr>
        <w:spacing w:after="240" w:before="0" w:line="276" w:lineRule="auto"/>
        <w:jc w:val="both"/>
      </w:pPr>
      <w:r>
        <w:rPr>
          <w:rFonts w:ascii="Times New Roman" w:hAnsi="Times New Roman"/>
          <w:b w:val="0"/>
          <w:i w:val="0"/>
          <w:sz w:val="22"/>
        </w:rPr>
        <w:t>Statistical Synthesis: Effect sizes were pooled with a random-effects (DerSimonian-Laird) model using inverse-variance weighting, implemented in R with the metafor and meta packages. For each trial, the cluster-adjusted odds ratio (aOR) and its 95% CI were log-transformed to obtain the effect size (yi = ln[aOR]) and its standard error (sei = {ln[CI upper] - ln[CI lower]} / 3.92). Heterogeneity was assessed with Cochran's Q (p &lt; 0.10), the I² statistic, and the between-study variance τ². Because only three studies contributed to the quantitative synthesis, a Hartung-Knapp-Sidik-Jonkman (HKSJ) sensitivity analysis was performed to assess the robustness of the confidence interval. Forest plots were generated with Matplotlib in Python 3.12.</w:t>
      </w:r>
    </w:p>
    <w:p>
      <w:pPr>
        <w:spacing w:after="120" w:before="120" w:line="276" w:lineRule="auto"/>
      </w:pPr>
      <w:r>
        <w:rPr>
          <w:rFonts w:ascii="Times New Roman" w:hAnsi="Times New Roman"/>
          <w:b/>
          <w:i w:val="0"/>
          <w:sz w:val="24"/>
        </w:rPr>
        <w:t>Results</w:t>
      </w:r>
    </w:p>
    <w:p>
      <w:pPr>
        <w:spacing w:after="160" w:before="0" w:line="276" w:lineRule="auto"/>
        <w:jc w:val="both"/>
      </w:pPr>
      <w:r>
        <w:rPr>
          <w:rFonts w:ascii="Times New Roman" w:hAnsi="Times New Roman"/>
          <w:b w:val="0"/>
          <w:i w:val="0"/>
          <w:sz w:val="22"/>
        </w:rPr>
        <w:t>Study Selection: The database search retrieved 3,223 records, and citation tracking added 22 more, for a total of 3,245 records. After automated triage and title/abstract screening, 183 full texts were assessed for eligibility, of which 169 were excluded (public-sector prescriber settings, n=18; non-pharmacy retail settings, n=34; uncontrolled or observational designs, n=42; outcome other than non-prescription dispensing, n=26; physician-targeted interventions, n=14; malaria case management alone, n=9; other reasons, n=26). Fourteen studies were included in the systematic review, and three of them met the criteria for quantitative synthesis (Figure 1).</w:t>
      </w:r>
    </w:p>
    <w:p>
      <w:pPr>
        <w:spacing w:before="120" w:after="80"/>
        <w:jc w:val="center"/>
      </w:pPr>
      <w:r>
        <w:drawing>
          <wp:inline xmlns:a="http://schemas.openxmlformats.org/drawingml/2006/main" xmlns:pic="http://schemas.openxmlformats.org/drawingml/2006/picture">
            <wp:extent cx="5029200" cy="6719687"/>
            <wp:docPr id="1" name="Picture 1"/>
            <wp:cNvGraphicFramePr>
              <a:graphicFrameLocks noChangeAspect="1"/>
            </wp:cNvGraphicFramePr>
            <a:graphic>
              <a:graphicData uri="http://schemas.openxmlformats.org/drawingml/2006/picture">
                <pic:pic>
                  <pic:nvPicPr>
                    <pic:cNvPr id="0" name="prisma_flow_diagram.png"/>
                    <pic:cNvPicPr/>
                  </pic:nvPicPr>
                  <pic:blipFill>
                    <a:blip r:embed="rId9"/>
                    <a:stretch>
                      <a:fillRect/>
                    </a:stretch>
                  </pic:blipFill>
                  <pic:spPr>
                    <a:xfrm>
                      <a:off x="0" y="0"/>
                      <a:ext cx="5029200" cy="6719687"/>
                    </a:xfrm>
                    <a:prstGeom prst="rect"/>
                  </pic:spPr>
                </pic:pic>
              </a:graphicData>
            </a:graphic>
          </wp:inline>
        </w:drawing>
      </w:r>
    </w:p>
    <w:p>
      <w:pPr>
        <w:spacing w:after="240" w:before="0" w:line="276" w:lineRule="auto"/>
        <w:jc w:val="center"/>
      </w:pPr>
      <w:r>
        <w:rPr>
          <w:rFonts w:ascii="Times New Roman" w:hAnsi="Times New Roman"/>
          <w:b/>
          <w:i w:val="0"/>
          <w:sz w:val="19"/>
        </w:rPr>
        <w:t>Figure 1. PRISMA 2020 flow diagram of study selection</w:t>
      </w:r>
    </w:p>
    <w:p>
      <w:pPr>
        <w:spacing w:after="160" w:before="0" w:line="276" w:lineRule="auto"/>
        <w:jc w:val="both"/>
      </w:pPr>
      <w:r>
        <w:rPr>
          <w:rFonts w:ascii="Times New Roman" w:hAnsi="Times New Roman"/>
          <w:b w:val="0"/>
          <w:i w:val="0"/>
          <w:sz w:val="22"/>
        </w:rPr>
        <w:t>Characteristics of Included Studies: The three trials came from three countries (Table 1). Chalker et al. (2005) conducted a matched-pair cluster-randomised trial in Hanoi, Vietnam, testing a three-phase strategy of regulatory enforcement, inspector visits, educational seminars, and peer-review meetings across 55 private pharmacies (273 simulated client encounters). Onwunduba et al. (2023) conducted a stratified cluster-randomised trial in Awka, Nigeria, testing point-of-care C-reactive protein (CRP) testing and staff training in 20 private community pharmacies (600 encounters). Ferdiana et al. (2024) conducted a controlled before-after evaluation of the PINTAR package (online modules, customer awareness campaigns, peer outreach, and pharmacy branding) in Semarang, Indonesia, across 270 private pharmacies, with 80 intervention and 190 comparison pharmacies (810 encounters). All three trials used unannounced simulated clients presenting fixed clinical scenarios (acute respiratory infection, urinary tract infection, and childhood diarrhoea).</w:t>
      </w:r>
    </w:p>
    <w:p>
      <w:pPr>
        <w:spacing w:after="80" w:before="0" w:line="276" w:lineRule="auto"/>
        <w:jc w:val="center"/>
      </w:pPr>
      <w:r>
        <w:rPr>
          <w:rFonts w:ascii="Times New Roman" w:hAnsi="Times New Roman"/>
          <w:b/>
          <w:i w:val="0"/>
          <w:sz w:val="19"/>
        </w:rPr>
        <w:t>Table 1. Characteristics of the studies included in the quantitative synthesis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tcPr>
          <w:p>
            <w:pPr>
              <w:jc w:val="center"/>
            </w:pPr>
            <w:r>
              <w:rPr>
                <w:rFonts w:ascii="Times New Roman" w:hAnsi="Times New Roman"/>
                <w:b/>
                <w:sz w:val="17"/>
              </w:rPr>
              <w:t>Study (Year)</w:t>
            </w:r>
          </w:p>
        </w:tc>
        <w:tc>
          <w:tcPr>
            <w:tcW w:type="dxa" w:w="1569"/>
          </w:tcPr>
          <w:p>
            <w:pPr>
              <w:jc w:val="center"/>
            </w:pPr>
            <w:r>
              <w:rPr>
                <w:rFonts w:ascii="Times New Roman" w:hAnsi="Times New Roman"/>
                <w:b/>
                <w:sz w:val="17"/>
              </w:rPr>
              <w:t>Country</w:t>
            </w:r>
          </w:p>
        </w:tc>
        <w:tc>
          <w:tcPr>
            <w:tcW w:type="dxa" w:w="1569"/>
          </w:tcPr>
          <w:p>
            <w:pPr>
              <w:jc w:val="center"/>
            </w:pPr>
            <w:r>
              <w:rPr>
                <w:rFonts w:ascii="Times New Roman" w:hAnsi="Times New Roman"/>
                <w:b/>
                <w:sz w:val="17"/>
              </w:rPr>
              <w:t>Design</w:t>
            </w:r>
          </w:p>
        </w:tc>
        <w:tc>
          <w:tcPr>
            <w:tcW w:type="dxa" w:w="1569"/>
          </w:tcPr>
          <w:p>
            <w:pPr>
              <w:jc w:val="center"/>
            </w:pPr>
            <w:r>
              <w:rPr>
                <w:rFonts w:ascii="Times New Roman" w:hAnsi="Times New Roman"/>
                <w:b/>
                <w:sz w:val="17"/>
              </w:rPr>
              <w:t>Sample (pharmacies / encounters)</w:t>
            </w:r>
          </w:p>
        </w:tc>
        <w:tc>
          <w:tcPr>
            <w:tcW w:type="dxa" w:w="1569"/>
          </w:tcPr>
          <w:p>
            <w:pPr>
              <w:jc w:val="center"/>
            </w:pPr>
            <w:r>
              <w:rPr>
                <w:rFonts w:ascii="Times New Roman" w:hAnsi="Times New Roman"/>
                <w:b/>
                <w:sz w:val="17"/>
              </w:rPr>
              <w:t>Intervention</w:t>
            </w:r>
          </w:p>
        </w:tc>
        <w:tc>
          <w:tcPr>
            <w:tcW w:type="dxa" w:w="1569"/>
          </w:tcPr>
          <w:p>
            <w:pPr>
              <w:jc w:val="center"/>
            </w:pPr>
            <w:r>
              <w:rPr>
                <w:rFonts w:ascii="Times New Roman" w:hAnsi="Times New Roman"/>
                <w:b/>
                <w:sz w:val="17"/>
              </w:rPr>
              <w:t>Adjusted OR (95% CI)</w:t>
            </w:r>
          </w:p>
        </w:tc>
      </w:tr>
      <w:tr>
        <w:tc>
          <w:tcPr>
            <w:tcW w:type="dxa" w:w="1569"/>
          </w:tcPr>
          <w:p>
            <w:pPr>
              <w:jc w:val="left"/>
            </w:pPr>
            <w:r>
              <w:rPr>
                <w:rFonts w:ascii="Times New Roman" w:hAnsi="Times New Roman"/>
                <w:sz w:val="17"/>
              </w:rPr>
              <w:t>Chalker et al. (2005)</w:t>
            </w:r>
          </w:p>
        </w:tc>
        <w:tc>
          <w:tcPr>
            <w:tcW w:type="dxa" w:w="1569"/>
          </w:tcPr>
          <w:p>
            <w:pPr>
              <w:jc w:val="center"/>
            </w:pPr>
            <w:r>
              <w:rPr>
                <w:rFonts w:ascii="Times New Roman" w:hAnsi="Times New Roman"/>
                <w:sz w:val="17"/>
              </w:rPr>
              <w:t>Vietnam (Hanoi)</w:t>
            </w:r>
          </w:p>
        </w:tc>
        <w:tc>
          <w:tcPr>
            <w:tcW w:type="dxa" w:w="1569"/>
          </w:tcPr>
          <w:p>
            <w:pPr>
              <w:jc w:val="center"/>
            </w:pPr>
            <w:r>
              <w:rPr>
                <w:rFonts w:ascii="Times New Roman" w:hAnsi="Times New Roman"/>
                <w:sz w:val="17"/>
              </w:rPr>
              <w:t>Cluster-randomised, matched-pair</w:t>
            </w:r>
          </w:p>
        </w:tc>
        <w:tc>
          <w:tcPr>
            <w:tcW w:type="dxa" w:w="1569"/>
          </w:tcPr>
          <w:p>
            <w:pPr>
              <w:jc w:val="left"/>
            </w:pPr>
            <w:r>
              <w:rPr>
                <w:rFonts w:ascii="Times New Roman" w:hAnsi="Times New Roman"/>
                <w:sz w:val="17"/>
              </w:rPr>
              <w:t>55 / 273</w:t>
            </w:r>
          </w:p>
        </w:tc>
        <w:tc>
          <w:tcPr>
            <w:tcW w:type="dxa" w:w="1569"/>
          </w:tcPr>
          <w:p>
            <w:pPr>
              <w:jc w:val="left"/>
            </w:pPr>
            <w:r>
              <w:rPr>
                <w:rFonts w:ascii="Times New Roman" w:hAnsi="Times New Roman"/>
                <w:sz w:val="17"/>
              </w:rPr>
              <w:t>Enforcement, inspection, education, peer review</w:t>
            </w:r>
          </w:p>
        </w:tc>
        <w:tc>
          <w:tcPr>
            <w:tcW w:type="dxa" w:w="1569"/>
          </w:tcPr>
          <w:p>
            <w:pPr>
              <w:jc w:val="center"/>
            </w:pPr>
            <w:r>
              <w:rPr>
                <w:rFonts w:ascii="Times New Roman" w:hAnsi="Times New Roman"/>
                <w:sz w:val="17"/>
              </w:rPr>
              <w:t>0.134 (0.057-0.316)</w:t>
            </w:r>
          </w:p>
        </w:tc>
      </w:tr>
      <w:tr>
        <w:tc>
          <w:tcPr>
            <w:tcW w:type="dxa" w:w="1569"/>
          </w:tcPr>
          <w:p>
            <w:pPr>
              <w:jc w:val="left"/>
            </w:pPr>
            <w:r>
              <w:rPr>
                <w:rFonts w:ascii="Times New Roman" w:hAnsi="Times New Roman"/>
                <w:sz w:val="17"/>
              </w:rPr>
              <w:t>Onwunduba et al. (2023)</w:t>
            </w:r>
          </w:p>
        </w:tc>
        <w:tc>
          <w:tcPr>
            <w:tcW w:type="dxa" w:w="1569"/>
          </w:tcPr>
          <w:p>
            <w:pPr>
              <w:jc w:val="center"/>
            </w:pPr>
            <w:r>
              <w:rPr>
                <w:rFonts w:ascii="Times New Roman" w:hAnsi="Times New Roman"/>
                <w:sz w:val="17"/>
              </w:rPr>
              <w:t>Nigeria (Awka)</w:t>
            </w:r>
          </w:p>
        </w:tc>
        <w:tc>
          <w:tcPr>
            <w:tcW w:type="dxa" w:w="1569"/>
          </w:tcPr>
          <w:p>
            <w:pPr>
              <w:jc w:val="center"/>
            </w:pPr>
            <w:r>
              <w:rPr>
                <w:rFonts w:ascii="Times New Roman" w:hAnsi="Times New Roman"/>
                <w:sz w:val="17"/>
              </w:rPr>
              <w:t>Cluster-randomised, stratified</w:t>
            </w:r>
          </w:p>
        </w:tc>
        <w:tc>
          <w:tcPr>
            <w:tcW w:type="dxa" w:w="1569"/>
          </w:tcPr>
          <w:p>
            <w:pPr>
              <w:jc w:val="left"/>
            </w:pPr>
            <w:r>
              <w:rPr>
                <w:rFonts w:ascii="Times New Roman" w:hAnsi="Times New Roman"/>
                <w:sz w:val="17"/>
              </w:rPr>
              <w:t>20 / 600</w:t>
            </w:r>
          </w:p>
        </w:tc>
        <w:tc>
          <w:tcPr>
            <w:tcW w:type="dxa" w:w="1569"/>
          </w:tcPr>
          <w:p>
            <w:pPr>
              <w:jc w:val="left"/>
            </w:pPr>
            <w:r>
              <w:rPr>
                <w:rFonts w:ascii="Times New Roman" w:hAnsi="Times New Roman"/>
                <w:sz w:val="17"/>
              </w:rPr>
              <w:t>Point-of-care CRP testing plus staff training</w:t>
            </w:r>
          </w:p>
        </w:tc>
        <w:tc>
          <w:tcPr>
            <w:tcW w:type="dxa" w:w="1569"/>
          </w:tcPr>
          <w:p>
            <w:pPr>
              <w:jc w:val="center"/>
            </w:pPr>
            <w:r>
              <w:rPr>
                <w:rFonts w:ascii="Times New Roman" w:hAnsi="Times New Roman"/>
                <w:sz w:val="17"/>
              </w:rPr>
              <w:t>0.279 (0.107-0.726)</w:t>
            </w:r>
          </w:p>
        </w:tc>
      </w:tr>
      <w:tr>
        <w:tc>
          <w:tcPr>
            <w:tcW w:type="dxa" w:w="1569"/>
          </w:tcPr>
          <w:p>
            <w:pPr>
              <w:jc w:val="left"/>
            </w:pPr>
            <w:r>
              <w:rPr>
                <w:rFonts w:ascii="Times New Roman" w:hAnsi="Times New Roman"/>
                <w:sz w:val="17"/>
              </w:rPr>
              <w:t>Ferdiana et al. (2024)</w:t>
            </w:r>
          </w:p>
        </w:tc>
        <w:tc>
          <w:tcPr>
            <w:tcW w:type="dxa" w:w="1569"/>
          </w:tcPr>
          <w:p>
            <w:pPr>
              <w:jc w:val="center"/>
            </w:pPr>
            <w:r>
              <w:rPr>
                <w:rFonts w:ascii="Times New Roman" w:hAnsi="Times New Roman"/>
                <w:sz w:val="17"/>
              </w:rPr>
              <w:t>Indonesia (Semarang)</w:t>
            </w:r>
          </w:p>
        </w:tc>
        <w:tc>
          <w:tcPr>
            <w:tcW w:type="dxa" w:w="1569"/>
          </w:tcPr>
          <w:p>
            <w:pPr>
              <w:jc w:val="center"/>
            </w:pPr>
            <w:r>
              <w:rPr>
                <w:rFonts w:ascii="Times New Roman" w:hAnsi="Times New Roman"/>
                <w:sz w:val="17"/>
              </w:rPr>
              <w:t>Controlled before-after</w:t>
            </w:r>
          </w:p>
        </w:tc>
        <w:tc>
          <w:tcPr>
            <w:tcW w:type="dxa" w:w="1569"/>
          </w:tcPr>
          <w:p>
            <w:pPr>
              <w:jc w:val="left"/>
            </w:pPr>
            <w:r>
              <w:rPr>
                <w:rFonts w:ascii="Times New Roman" w:hAnsi="Times New Roman"/>
                <w:sz w:val="17"/>
              </w:rPr>
              <w:t>270 / 810</w:t>
            </w:r>
          </w:p>
        </w:tc>
        <w:tc>
          <w:tcPr>
            <w:tcW w:type="dxa" w:w="1569"/>
          </w:tcPr>
          <w:p>
            <w:pPr>
              <w:jc w:val="left"/>
            </w:pPr>
            <w:r>
              <w:rPr>
                <w:rFonts w:ascii="Times New Roman" w:hAnsi="Times New Roman"/>
                <w:sz w:val="17"/>
              </w:rPr>
              <w:t>PINTAR: online education, campaigns, peer outreach, branding</w:t>
            </w:r>
          </w:p>
        </w:tc>
        <w:tc>
          <w:tcPr>
            <w:tcW w:type="dxa" w:w="1569"/>
          </w:tcPr>
          <w:p>
            <w:pPr>
              <w:jc w:val="center"/>
            </w:pPr>
            <w:r>
              <w:rPr>
                <w:rFonts w:ascii="Times New Roman" w:hAnsi="Times New Roman"/>
                <w:sz w:val="17"/>
              </w:rPr>
              <w:t>0.140 (0.070-0.300)</w:t>
            </w:r>
          </w:p>
        </w:tc>
      </w:tr>
    </w:tbl>
    <w:p>
      <w:pPr>
        <w:spacing w:after="120" w:before="0" w:line="276" w:lineRule="auto"/>
      </w:pPr>
    </w:p>
    <w:p>
      <w:pPr>
        <w:spacing w:after="120" w:before="0" w:line="276" w:lineRule="auto"/>
        <w:jc w:val="both"/>
      </w:pPr>
      <w:r>
        <w:rPr>
          <w:rFonts w:ascii="Times New Roman" w:hAnsi="Times New Roman"/>
          <w:b w:val="0"/>
          <w:i w:val="0"/>
          <w:sz w:val="22"/>
        </w:rPr>
        <w:t>Meta-Analysis: In the random-effects meta-analysis (Figure 2), the pooled odds ratio for NPD was 0.164 (95% CI: 0.102 to 0.265; Z = -7.38; p &lt; 0.0001). This corresponds to 83.6% lower odds of dispensing without a prescription in intervention pharmacies than in control pharmacies. Individual aORs ranged from 0.134 to 0.279, all in the same direction.</w:t>
      </w:r>
    </w:p>
    <w:p>
      <w:pPr>
        <w:spacing w:after="120" w:before="0" w:line="276" w:lineRule="auto"/>
        <w:jc w:val="both"/>
      </w:pPr>
      <w:r>
        <w:rPr>
          <w:rFonts w:ascii="Times New Roman" w:hAnsi="Times New Roman"/>
          <w:b w:val="0"/>
          <w:i w:val="0"/>
          <w:sz w:val="22"/>
        </w:rPr>
        <w:t>Sensitivity Analysis: Because only three studies contributed to the quantitative synthesis, a Hartung-Knapp-Sidik-Jonkman (HKSJ) sensitivity analysis was performed to assess the robustness of the confidence interval. The HKSJ method yielded the same point estimate with a wider confidence interval (OR = 0.164; 95% CI: 0.064 to 0.419; t(2) = -8.31; p = 0.014). The wider interval reflects the small number of studies, and the pooled effect remained statistically significant under both models.</w:t>
      </w:r>
    </w:p>
    <w:p>
      <w:pPr>
        <w:spacing w:after="160" w:before="0" w:line="276" w:lineRule="auto"/>
        <w:jc w:val="both"/>
      </w:pPr>
      <w:r>
        <w:rPr>
          <w:rFonts w:ascii="Times New Roman" w:hAnsi="Times New Roman"/>
          <w:b w:val="0"/>
          <w:i w:val="0"/>
          <w:sz w:val="22"/>
        </w:rPr>
        <w:t>Heterogeneity: Heterogeneity was not statistically significant (Q = 1.58, df = 2, p = 0.454; I² = 0.0%; τ² = 0.000). Study weights were 43.5% for Ferdiana et al., 31.4% for Chalker et al., and 25.1% for Onwunduba et al. With only three studies, the test for heterogeneity has low statistical power, and the I² of 0.0% should be interpreted as the absence of statistically detectable heterogeneity rather than proof of homogeneity (Higgins et al., 2003).</w:t>
      </w:r>
    </w:p>
    <w:p>
      <w:pPr>
        <w:spacing w:before="120" w:after="80"/>
        <w:jc w:val="center"/>
      </w:pPr>
      <w:r>
        <w:drawing>
          <wp:inline xmlns:a="http://schemas.openxmlformats.org/drawingml/2006/main" xmlns:pic="http://schemas.openxmlformats.org/drawingml/2006/picture">
            <wp:extent cx="5669280" cy="2567827"/>
            <wp:docPr id="2" name="Picture 2"/>
            <wp:cNvGraphicFramePr>
              <a:graphicFrameLocks noChangeAspect="1"/>
            </wp:cNvGraphicFramePr>
            <a:graphic>
              <a:graphicData uri="http://schemas.openxmlformats.org/drawingml/2006/picture">
                <pic:pic>
                  <pic:nvPicPr>
                    <pic:cNvPr id="0" name="forest_plot_core3.png"/>
                    <pic:cNvPicPr/>
                  </pic:nvPicPr>
                  <pic:blipFill>
                    <a:blip r:embed="rId10"/>
                    <a:stretch>
                      <a:fillRect/>
                    </a:stretch>
                  </pic:blipFill>
                  <pic:spPr>
                    <a:xfrm>
                      <a:off x="0" y="0"/>
                      <a:ext cx="5669280" cy="2567827"/>
                    </a:xfrm>
                    <a:prstGeom prst="rect"/>
                  </pic:spPr>
                </pic:pic>
              </a:graphicData>
            </a:graphic>
          </wp:inline>
        </w:drawing>
      </w:r>
    </w:p>
    <w:p>
      <w:pPr>
        <w:spacing w:after="240" w:before="0" w:line="276" w:lineRule="auto"/>
        <w:jc w:val="center"/>
      </w:pPr>
      <w:r>
        <w:rPr>
          <w:rFonts w:ascii="Times New Roman" w:hAnsi="Times New Roman"/>
          <w:b/>
          <w:i w:val="0"/>
          <w:sz w:val="19"/>
        </w:rPr>
        <w:t>Figure 2. Forest plot of the random-effects meta-analysis</w:t>
      </w:r>
    </w:p>
    <w:p>
      <w:pPr>
        <w:spacing w:after="120" w:before="120" w:line="276" w:lineRule="auto"/>
      </w:pPr>
      <w:r>
        <w:rPr>
          <w:rFonts w:ascii="Times New Roman" w:hAnsi="Times New Roman"/>
          <w:b/>
          <w:i w:val="0"/>
          <w:sz w:val="24"/>
        </w:rPr>
        <w:t>Discussion</w:t>
      </w:r>
    </w:p>
    <w:p>
      <w:pPr>
        <w:spacing w:after="120" w:before="0" w:line="276" w:lineRule="auto"/>
        <w:jc w:val="both"/>
      </w:pPr>
      <w:r>
        <w:rPr>
          <w:rFonts w:ascii="Times New Roman" w:hAnsi="Times New Roman"/>
          <w:b w:val="0"/>
          <w:i w:val="0"/>
          <w:sz w:val="22"/>
        </w:rPr>
        <w:t>Principal Findings: This meta-analysis is, to our knowledge, the first to pool effect estimates exclusively from controlled trials conducted in private community pharmacies in LMICs. Across the three trials, the pooled OR was 0.164 (95% CI: 0.102-0.265), equivalent to 83.6% lower odds of NPD in intervention pharmacies. Effect sizes were similar across South-East Asia and sub-Saharan Africa, which suggests that pharmacy-based stewardship models may be transferable across settings.</w:t>
      </w:r>
    </w:p>
    <w:p>
      <w:pPr>
        <w:spacing w:after="120" w:before="0" w:line="276" w:lineRule="auto"/>
        <w:jc w:val="both"/>
      </w:pPr>
      <w:r>
        <w:rPr>
          <w:rFonts w:ascii="Times New Roman" w:hAnsi="Times New Roman"/>
          <w:b w:val="0"/>
          <w:i w:val="0"/>
          <w:sz w:val="22"/>
        </w:rPr>
        <w:t>Comparison with Previous Reviews: Afari-Asiedu et al. (2022) and the Cochrane review (2025) could not pool results because of heterogeneity in design, setting, and outcome measurement. When the scope is limited to private retail outlets assessed with simulated clients, however, the results of individual trials were consistent. Dispensers in private settings face comparable pressures, including customer demand, fear of losing sales, and limited enforcement of dispensing regulations. Interventions that combine staff training, diagnostic support such as point-of-care CRP testing, and peer supervision appear to help counter these pressures.</w:t>
      </w:r>
    </w:p>
    <w:p>
      <w:pPr>
        <w:spacing w:after="120" w:before="0" w:line="276" w:lineRule="auto"/>
        <w:jc w:val="both"/>
      </w:pPr>
      <w:r>
        <w:rPr>
          <w:rFonts w:ascii="Times New Roman" w:hAnsi="Times New Roman"/>
          <w:b w:val="0"/>
          <w:i w:val="0"/>
          <w:sz w:val="22"/>
        </w:rPr>
        <w:t>Policy Implications: Legislation alone is unlikely to curb non-prescription antibiotic sales in LMICs, where enforcement capacity is often limited. Our results support the inclusion of pharmacy-focused packages, comprising dispenser education, rapid diagnostics, customer awareness campaigns, and peer supervision, in national action plans for antimicrobial resistance. Within the Sustainable Health 5.0 framework, community pharmacy stewardship represents a sustainable, decentralised intervention platform that aligns with the health-related Sustainable Development Goals (SDG 3 and its target 3.d on strengthening capacity for early warning and risk reduction).</w:t>
      </w:r>
    </w:p>
    <w:p>
      <w:pPr>
        <w:spacing w:after="240" w:before="0" w:line="276" w:lineRule="auto"/>
        <w:jc w:val="both"/>
      </w:pPr>
      <w:r>
        <w:rPr>
          <w:rFonts w:ascii="Times New Roman" w:hAnsi="Times New Roman"/>
          <w:b w:val="0"/>
          <w:i w:val="0"/>
          <w:sz w:val="22"/>
        </w:rPr>
        <w:t>Limitations: The meta-analysis includes only three trials, reflecting how few controlled studies have been conducted in private pharmacies in LMICs. With k = 3, tests of heterogeneity have low statistical power, and the I² of 0.0% should be read as the absence of statistically detectable heterogeneity rather than proof of homogeneity. Tumwikirize et al. (2004), a quasi-experimental study from Uganda (RR 0.85, 95% CI: 0.66-1.09), could not be included in the pooled estimate because the full text is paywalled and its summary statistic could not be converted reliably to a cluster-adjusted odds ratio. Simulated client encounters measure dispensing at a single visit and may not reflect long-term consumption trends. Finally, searching was restricted to PubMed, OpenAlex, and CENTRAL, and non-indexed regional studies may have been missed.</w:t>
      </w:r>
    </w:p>
    <w:p>
      <w:pPr>
        <w:spacing w:after="120" w:before="120" w:line="276" w:lineRule="auto"/>
      </w:pPr>
      <w:r>
        <w:rPr>
          <w:rFonts w:ascii="Times New Roman" w:hAnsi="Times New Roman"/>
          <w:b/>
          <w:i w:val="0"/>
          <w:sz w:val="24"/>
        </w:rPr>
        <w:t>Conclusion</w:t>
      </w:r>
    </w:p>
    <w:p>
      <w:pPr>
        <w:spacing w:after="240" w:before="0" w:line="276" w:lineRule="auto"/>
        <w:jc w:val="both"/>
      </w:pPr>
      <w:r>
        <w:rPr>
          <w:rFonts w:ascii="Times New Roman" w:hAnsi="Times New Roman"/>
          <w:b w:val="0"/>
          <w:i w:val="0"/>
          <w:sz w:val="22"/>
        </w:rPr>
        <w:t>Multifaceted interventions that combine dispenser education, rapid diagnostic testing, customer awareness, and peer supervision were associated with significantly lower odds of non-prescription antibiotic dispensing in LMIC community pharmacies (pooled OR = 0.164, 95% CI: 0.102-0.265). National programmes should consider adapting and scaling these pharmacy-focused models, ideally within multi-country cluster-randomised trials that assess long-term sustainability.</w:t>
      </w:r>
    </w:p>
    <w:p>
      <w:pPr>
        <w:spacing w:after="120" w:before="120" w:line="276" w:lineRule="auto"/>
      </w:pPr>
      <w:r>
        <w:rPr>
          <w:rFonts w:ascii="Times New Roman" w:hAnsi="Times New Roman"/>
          <w:b/>
          <w:i w:val="0"/>
          <w:sz w:val="24"/>
        </w:rPr>
        <w:t>Ethical Statement &amp; Author Declaration</w:t>
      </w:r>
    </w:p>
    <w:p>
      <w:pPr>
        <w:spacing w:after="80" w:before="0" w:line="276" w:lineRule="auto"/>
        <w:jc w:val="both"/>
      </w:pPr>
      <w:r>
        <w:rPr>
          <w:rFonts w:ascii="Times New Roman" w:hAnsi="Times New Roman"/>
          <w:b w:val="0"/>
          <w:i w:val="0"/>
          <w:sz w:val="22"/>
        </w:rPr>
        <w:t>[ X ] Originality: The authors certify that this manuscript is original, has not been published previously, and is not under consideration elsewhere.</w:t>
      </w:r>
    </w:p>
    <w:p>
      <w:pPr>
        <w:spacing w:after="80" w:before="0" w:line="276" w:lineRule="auto"/>
        <w:jc w:val="both"/>
      </w:pPr>
      <w:r>
        <w:rPr>
          <w:rFonts w:ascii="Times New Roman" w:hAnsi="Times New Roman"/>
          <w:b w:val="0"/>
          <w:i w:val="0"/>
          <w:sz w:val="22"/>
        </w:rPr>
        <w:t>[ X ] Ethical Approval: Ethical approval was not required as this study is a secondary systematic review and meta-analysis of publicly available, published trial data.</w:t>
      </w:r>
    </w:p>
    <w:p>
      <w:pPr>
        <w:spacing w:after="80" w:before="0" w:line="276" w:lineRule="auto"/>
        <w:jc w:val="both"/>
      </w:pPr>
      <w:r>
        <w:rPr>
          <w:rFonts w:ascii="Times New Roman" w:hAnsi="Times New Roman"/>
          <w:b w:val="0"/>
          <w:i w:val="0"/>
          <w:sz w:val="22"/>
        </w:rPr>
        <w:t>[ X ] Conflict of Interest: The authors declare that they have no financial, personal, or professional conflicts of interest regarding this work.</w:t>
      </w:r>
    </w:p>
    <w:p>
      <w:pPr>
        <w:spacing w:after="80" w:before="0" w:line="276" w:lineRule="auto"/>
        <w:jc w:val="both"/>
      </w:pPr>
      <w:r>
        <w:rPr>
          <w:rFonts w:ascii="Times New Roman" w:hAnsi="Times New Roman"/>
          <w:b w:val="0"/>
          <w:i w:val="0"/>
          <w:sz w:val="22"/>
        </w:rPr>
        <w:t>[ X ] Author Consent: The listed author has reviewed, approved this submission, and agreed to present at ICSH 2026 if accepted.</w:t>
      </w:r>
    </w:p>
    <w:p>
      <w:pPr>
        <w:spacing w:after="160" w:before="0" w:line="276" w:lineRule="auto"/>
      </w:pPr>
    </w:p>
    <w:p>
      <w:pPr>
        <w:spacing w:after="120" w:before="120" w:line="276" w:lineRule="auto"/>
      </w:pPr>
      <w:r>
        <w:rPr>
          <w:rFonts w:ascii="Times New Roman" w:hAnsi="Times New Roman"/>
          <w:b/>
          <w:i w:val="0"/>
          <w:sz w:val="24"/>
        </w:rPr>
        <w:t>References</w:t>
      </w:r>
    </w:p>
    <w:p>
      <w:pPr>
        <w:spacing w:after="80" w:line="276" w:lineRule="auto"/>
        <w:ind w:left="432" w:hanging="432"/>
      </w:pPr>
      <w:r>
        <w:rPr>
          <w:rFonts w:ascii="Times New Roman" w:hAnsi="Times New Roman"/>
          <w:sz w:val="19"/>
        </w:rPr>
        <w:t>1.  Murray CJL, Ikuta KS, Sharara F, Swetschinski LR, Robles Aguilar G, Gray A, et al. Global burden of bacterial antimicrobial resistance in 2019: a systematic analysis. Lancet. 2022;399(10325):629-55.</w:t>
      </w:r>
    </w:p>
    <w:p>
      <w:pPr>
        <w:spacing w:after="80" w:line="276" w:lineRule="auto"/>
        <w:ind w:left="432" w:hanging="432"/>
      </w:pPr>
      <w:r>
        <w:rPr>
          <w:rFonts w:ascii="Times New Roman" w:hAnsi="Times New Roman"/>
          <w:sz w:val="19"/>
        </w:rPr>
        <w:t>2.  Morgan DJ, Okeke IN, Laxminarayan R, Perencevich EN, Weisenberg S. Non-prescription antimicrobial use worldwide: a systematic review. Lancet Infect Dis. 2011;11(9):692-701.</w:t>
      </w:r>
    </w:p>
    <w:p>
      <w:pPr>
        <w:spacing w:after="80" w:line="276" w:lineRule="auto"/>
        <w:ind w:left="432" w:hanging="432"/>
      </w:pPr>
      <w:r>
        <w:rPr>
          <w:rFonts w:ascii="Times New Roman" w:hAnsi="Times New Roman"/>
          <w:sz w:val="19"/>
        </w:rPr>
        <w:t>3.  Afari-Asiedu S, Abdulai MA, Tostmann A, Asiedu-Birktag E, von Marschall Z, Schuit E, et al. Interventions to improve dispensing of antibiotics at the community level in low and middle income countries: a systematic review. J Glob Antimicrob Resist. 2022;29:259-74.</w:t>
      </w:r>
    </w:p>
    <w:p>
      <w:pPr>
        <w:spacing w:after="80" w:line="276" w:lineRule="auto"/>
        <w:ind w:left="432" w:hanging="432"/>
      </w:pPr>
      <w:r>
        <w:rPr>
          <w:rFonts w:ascii="Times New Roman" w:hAnsi="Times New Roman"/>
          <w:sz w:val="19"/>
        </w:rPr>
        <w:t>4.  Chalker J, Ratanawijitrasin S, Chuc NTK, Petzold M, Tomson G. Effectiveness of a multi-component intervention on dispensing practices at private pharmacies in Vietnam and Thailand: a randomized controlled trial. Soc Sci Med. 2005;60(1):131-41.</w:t>
      </w:r>
    </w:p>
    <w:p>
      <w:pPr>
        <w:spacing w:after="80" w:line="276" w:lineRule="auto"/>
        <w:ind w:left="432" w:hanging="432"/>
      </w:pPr>
      <w:r>
        <w:rPr>
          <w:rFonts w:ascii="Times New Roman" w:hAnsi="Times New Roman"/>
          <w:sz w:val="19"/>
        </w:rPr>
        <w:t>5.  Onwunduba A, Ekwunife O, Onyilogwu E, Onyemelukwe C, Modebe A, Igbokwe D. Impact of point-of-care C-reactive protein testing intervention on non-prescription dispensing of antibiotics for respiratory tract infections in private community pharmacies in Nigeria: a cluster randomized controlled trial. Int J Infect Dis. 2023;127:137-43.</w:t>
      </w:r>
    </w:p>
    <w:p>
      <w:pPr>
        <w:spacing w:after="80" w:line="276" w:lineRule="auto"/>
        <w:ind w:left="432" w:hanging="432"/>
      </w:pPr>
      <w:r>
        <w:rPr>
          <w:rFonts w:ascii="Times New Roman" w:hAnsi="Times New Roman"/>
          <w:sz w:val="19"/>
        </w:rPr>
        <w:t>6.  Ferdiana A, Wulandari LPL, Liverani M, Limato R, Essiet I, Mcknight J, et al. The impact of a multi-faceted intervention on non-prescription dispensing of antibiotics by urban community pharmacies in Indonesia: a mixed methods evaluation. BMJ Glob Health. 2024;9(10):e015620.</w:t>
      </w:r>
    </w:p>
    <w:p>
      <w:pPr>
        <w:spacing w:after="80" w:line="276" w:lineRule="auto"/>
        <w:ind w:left="432" w:hanging="432"/>
      </w:pPr>
      <w:r>
        <w:rPr>
          <w:rFonts w:ascii="Times New Roman" w:hAnsi="Times New Roman"/>
          <w:sz w:val="19"/>
        </w:rPr>
        <w:t>7.  Tumwikirize WA, Ekwaru PJ, Mohammed K, Ogwal-Okeng JW, Aupont O. Impact of a face-to-face educational intervention on improving the management of acute respiratory infections in private pharmacies and drug shops in Uganda. East Afr Med J. 2004;81(Suppl 1):S33-40.</w:t>
      </w:r>
    </w:p>
    <w:p>
      <w:pPr>
        <w:spacing w:after="80" w:line="276" w:lineRule="auto"/>
        <w:ind w:left="432" w:hanging="432"/>
      </w:pPr>
      <w:r>
        <w:rPr>
          <w:rFonts w:ascii="Times New Roman" w:hAnsi="Times New Roman"/>
          <w:sz w:val="19"/>
        </w:rPr>
        <w:t>8.  DerSimonian R, Laird N. Meta-analysis in clinical trials. Control Clin Trials. 1986;7(3):177-88.</w:t>
      </w:r>
    </w:p>
    <w:p>
      <w:pPr>
        <w:spacing w:after="80" w:line="276" w:lineRule="auto"/>
        <w:ind w:left="432" w:hanging="432"/>
      </w:pPr>
      <w:r>
        <w:rPr>
          <w:rFonts w:ascii="Times New Roman" w:hAnsi="Times New Roman"/>
          <w:sz w:val="19"/>
        </w:rPr>
        <w:t>9.  Higgins JPT, Thompson SG, Deeks JJ, Altman DG. Measuring inconsistency in meta-analyses. BMJ. 2003;327(7414):557-60.</w:t>
      </w:r>
    </w:p>
    <w:sectPr w:rsidR="00FC693F" w:rsidRPr="0006063C"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