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Meridian Trading Solutions (Pty) Ltd</w:t>
      </w:r>
    </w:p>
    <w:p>
      <w:pPr>
        <w:jc w:val="center"/>
        <w:spacing w:after="40"/>
      </w:pPr>
      <w:r>
        <w:rPr>
          <w:color w:val="595959"/>
        </w:rPr>
        <w:t xml:space="preserve">Registration number 2016/348271/07</w:t>
      </w:r>
    </w:p>
    <w:p>
      <w:pPr>
        <w:jc w:val="center"/>
        <w:spacing w:after="40"/>
      </w:pPr>
      <w:r>
        <w:rPr>
          <w:color w:val="595959"/>
        </w:rPr>
        <w:t xml:space="preserve">Trading as Meridian Trading</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General information</w:t>
      </w:r>
    </w:p>
    <w:p>
      <w:pPr>
        <w:spacing w:after="40"/>
      </w:pPr>
      <w:r>
        <w:t xml:space="preserve">Note 7. Income tax</w:t>
      </w:r>
    </w:p>
    <w:p>
      <w:pPr>
        <w:spacing w:after="40"/>
      </w:pPr>
      <w:r>
        <w:t xml:space="preserve">Note 8. Significant judgements and sources of estimation uncertainty</w:t>
      </w:r>
    </w:p>
    <w:p>
      <w:pPr>
        <w:spacing w:after="40"/>
      </w:pPr>
      <w:r>
        <w:t xml:space="preserve">Supplementary Information</w:t>
      </w:r>
    </w:p>
    <w:p>
      <w:pPr>
        <w:spacing w:after="40"/>
      </w:pPr>
      <w:r>
        <w:t xml:space="preserve">Reconciliation of property, plant and equipment</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Meridian Trading Solutions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Meridian Trading Solutions (Pty) Ltd for the year ended 31 march 2026.</w:t>
      </w:r>
    </w:p>
    <w:p>
      <w:pPr>
        <w:spacing w:after="40"/>
      </w:pPr>
      <w:r>
        <w:rPr>
          <w:b/>
          <w:sz w:val="20"/>
          <w:szCs w:val="20"/>
        </w:rPr>
        <w:t xml:space="preserve">1. Nature of business</w:t>
      </w:r>
    </w:p>
    <w:p>
      <w:pPr>
        <w:spacing w:after="120"/>
      </w:pPr>
      <w:r>
        <w:t xml:space="preserve">The wholesale distribution of industrial hardware and the provision of related logistics services</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R. van der Merwe, L. Khumalo and P. Naidoo.</w:t>
      </w:r>
    </w:p>
    <w:p>
      <w:pPr>
        <w:spacing w:after="40"/>
      </w:pPr>
      <w:r>
        <w:rPr>
          <w:b/>
          <w:sz w:val="20"/>
          <w:szCs w:val="20"/>
        </w:rPr>
        <w:t xml:space="preserve">6. Company secretary</w:t>
      </w:r>
    </w:p>
    <w:p>
      <w:pPr>
        <w:spacing w:after="120"/>
      </w:pPr>
      <w:r>
        <w:t xml:space="preserve">The company secretary is T. Nkosi, and the registered office of the company is 18 Kyalami Boulevard, Midrand, 1685.</w:t>
      </w:r>
    </w:p>
    <w:p>
      <w:pPr>
        <w:spacing w:after="40"/>
      </w:pPr>
      <w:r>
        <w:rPr>
          <w:b/>
          <w:sz w:val="20"/>
          <w:szCs w:val="20"/>
        </w:rPr>
        <w:t xml:space="preserve">7. Auditors</w:t>
      </w:r>
    </w:p>
    <w:p>
      <w:pPr>
        <w:spacing w:after="120"/>
      </w:pPr>
      <w:r>
        <w:t xml:space="preserve">The company's auditors are Delport &amp; Associates Incorporated, Registered Auditors.</w:t>
      </w:r>
    </w:p>
    <w:p>
      <w:pPr>
        <w:pStyle w:val="Heading1"/>
        <w:spacing w:after="120"/>
      </w:pPr>
      <w:r>
        <w:rPr>
          <w:b/>
          <w:sz w:val="26"/>
          <w:szCs w:val="26"/>
        </w:rPr>
        <w:t xml:space="preserve">Independent Auditor's Report</w:t>
      </w:r>
    </w:p>
    <w:p>
      <w:pPr>
        <w:spacing w:after="120"/>
      </w:pPr>
      <w:r>
        <w:t xml:space="preserve">To the shareholders of Meridian Trading Solutions (Pty) Ltd</w:t>
      </w:r>
    </w:p>
    <w:p>
      <w:pPr>
        <w:spacing w:after="120"/>
      </w:pPr>
      <w:r>
        <w:t xml:space="preserve">The independent auditors of the company are Delport &amp; Associates Incorporated, Registered Auditors.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Meridian Trading Solutions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2016/348271/07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Meridian Trading</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the wholesale distribution of industrial hardware and the provision of related logistics services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Postal address</w:t>
            </w:r>
          </w:p>
        </w:tc>
        <w:tc>
          <w:tcPr>
            <w:tcW w:w="1500" w:type="dxa"/>
            <w:shd w:val="clear" w:color="auto" w:fill="F2F2F2"/>
          </w:tcPr>
          <w:p>
            <w:pPr>
              <w:jc w:val="right"/>
              <w:spacing w:after="20"/>
            </w:pPr>
            <w:r>
              <w:rPr>
                <w:b/>
                <w:sz w:val="18"/>
                <w:szCs w:val="18"/>
              </w:rPr>
              <w:t xml:space="preserve">PO Box 41128, Halfway House, 1685</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T. Nkosi</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Delport &amp; Associates Incorporated, Registered Auditors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Preparer</w:t>
            </w:r>
          </w:p>
        </w:tc>
        <w:tc>
          <w:tcPr>
            <w:tcW w:w="1500" w:type="dxa"/>
            <w:shd w:val="clear" w:color="auto" w:fill="F2F2F2"/>
          </w:tcPr>
          <w:p>
            <w:pPr>
              <w:jc w:val="right"/>
              <w:spacing w:after="20"/>
            </w:pPr>
            <w:r>
              <w:rPr>
                <w:b/>
                <w:sz w:val="18"/>
                <w:szCs w:val="18"/>
              </w:rPr>
              <w:t xml:space="preserve">A. Petersen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Reviewer</w:t>
            </w:r>
          </w:p>
        </w:tc>
        <w:tc>
          <w:tcPr>
            <w:tcW w:w="1500" w:type="dxa"/>
            <w:shd w:val="clear" w:color="auto" w:fill="F2F2F2"/>
          </w:tcPr>
          <w:p>
            <w:pPr>
              <w:jc w:val="right"/>
              <w:spacing w:after="20"/>
            </w:pPr>
            <w:r>
              <w:rPr>
                <w:b/>
                <w:sz w:val="18"/>
                <w:szCs w:val="18"/>
              </w:rPr>
              <w:t xml:space="preserve">S. Moloi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Partner</w:t>
            </w:r>
          </w:p>
        </w:tc>
        <w:tc>
          <w:tcPr>
            <w:tcW w:w="1500" w:type="dxa"/>
            <w:shd w:val="clear" w:color="auto" w:fill="F2F2F2"/>
          </w:tcPr>
          <w:p>
            <w:pPr>
              <w:jc w:val="right"/>
              <w:spacing w:after="20"/>
            </w:pPr>
            <w:r>
              <w:rPr>
                <w:b/>
                <w:sz w:val="18"/>
                <w:szCs w:val="18"/>
              </w:rPr>
              <w:t xml:space="preserve">R. van der Merwe</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T. Nkosi</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R. van der Merwe (Managing Director)
L. Khumalo (Financial Director)
P. Naidoo (Non-executive Director)</w:t>
            </w:r>
          </w:p>
        </w:tc>
      </w:tr>
    </w:tbl>
    <w:p>
      <w:pPr>
        <w:spacing w:after="40"/>
      </w:pPr>
      <w:r>
        <w:t xml:space="preserve"/>
      </w:r>
    </w:p>
    <w:p>
      <w:pPr>
        <w:spacing w:after="120"/>
      </w:pPr>
      <w:r>
        <w:t xml:space="preserve"/>
      </w:r>
    </w:p>
    <w:p>
      <w:pPr>
        <w:spacing w:after="60"/>
      </w:pPr>
      <w:r>
        <w:rPr>
          <w:b/>
          <w:sz w:val="20"/>
          <w:szCs w:val="20"/>
        </w:rPr>
        <w:t xml:space="preserve">Principal Bankers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Principal bankers</w:t>
            </w:r>
          </w:p>
        </w:tc>
        <w:tc>
          <w:tcPr>
            <w:tcW w:w="1500" w:type="dxa"/>
            <w:shd w:val="clear" w:color="auto" w:fill="F2F2F2"/>
          </w:tcPr>
          <w:p>
            <w:pPr>
              <w:jc w:val="right"/>
              <w:spacing w:after="20"/>
            </w:pPr>
            <w:r>
              <w:rPr>
                <w:b/>
                <w:sz w:val="18"/>
                <w:szCs w:val="18"/>
              </w:rPr>
              <w:t xml:space="preserve">First National Bank, Midrand</w:t>
            </w:r>
          </w:p>
        </w:tc>
      </w:tr>
    </w:tbl>
    <w:p>
      <w:pPr>
        <w:spacing w:after="40"/>
      </w:pPr>
      <w:r>
        <w:t xml:space="preserve"/>
      </w:r>
    </w:p>
    <w:p>
      <w:pPr>
        <w:spacing w:after="120"/>
      </w:pPr>
      <w:r>
        <w:t xml:space="preserve"/>
      </w:r>
    </w:p>
    <w:p>
      <w:pPr>
        <w:spacing w:after="60"/>
      </w:pPr>
      <w:r>
        <w:rPr>
          <w:b/>
          <w:sz w:val="20"/>
          <w:szCs w:val="20"/>
        </w:rPr>
        <w:t xml:space="preserve">Tax Registrations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Tax registrations</w:t>
            </w:r>
          </w:p>
        </w:tc>
        <w:tc>
          <w:tcPr>
            <w:tcW w:w="1500" w:type="dxa"/>
            <w:shd w:val="clear" w:color="auto" w:fill="F2F2F2"/>
          </w:tcPr>
          <w:p>
            <w:pPr>
              <w:jc w:val="right"/>
              <w:spacing w:after="20"/>
            </w:pPr>
            <w:r>
              <w:rPr>
                <w:b/>
                <w:sz w:val="18"/>
                <w:szCs w:val="18"/>
              </w:rPr>
              <w:t xml:space="preserve">VAT Number: 4820318456
Income Tax Number: 9218347160</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Prepared by</w:t>
            </w:r>
          </w:p>
        </w:tc>
        <w:tc>
          <w:tcPr>
            <w:tcW w:w="1500" w:type="dxa"/>
            <w:shd w:val="clear" w:color="auto" w:fill="F2F2F2"/>
          </w:tcPr>
          <w:p>
            <w:pPr>
              <w:jc w:val="right"/>
              <w:spacing w:after="20"/>
            </w:pPr>
            <w:r>
              <w:rPr>
                <w:b/>
                <w:sz w:val="18"/>
                <w:szCs w:val="18"/>
              </w:rPr>
              <w:t xml:space="preserve">A. Petersen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Reviewed by</w:t>
            </w:r>
          </w:p>
        </w:tc>
        <w:tc>
          <w:tcPr>
            <w:tcW w:w="1500" w:type="dxa"/>
            <w:shd w:val="clear" w:color="auto" w:fill="F2F2F2"/>
          </w:tcPr>
          <w:p>
            <w:pPr>
              <w:jc w:val="right"/>
              <w:spacing w:after="20"/>
            </w:pPr>
            <w:r>
              <w:rPr>
                <w:b/>
                <w:sz w:val="18"/>
                <w:szCs w:val="18"/>
              </w:rPr>
              <w:t xml:space="preserve">S. Moloi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Partner</w:t>
            </w:r>
          </w:p>
        </w:tc>
        <w:tc>
          <w:tcPr>
            <w:tcW w:w="1500" w:type="dxa"/>
            <w:shd w:val="clear" w:color="auto" w:fill="F2F2F2"/>
          </w:tcPr>
          <w:p>
            <w:pPr>
              <w:jc w:val="right"/>
              <w:spacing w:after="20"/>
            </w:pPr>
            <w:r>
              <w:rPr>
                <w:b/>
                <w:sz w:val="18"/>
                <w:szCs w:val="18"/>
              </w:rPr>
              <w:t xml:space="preserve">R. van der Merwe</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Approval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Authorisation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Issue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b/>
                <w:sz w:val="18"/>
                <w:szCs w:val="18"/>
              </w:rPr>
              <w:t xml:space="preserve">Assets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Non-current assets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Property, plant and equipment</w:t>
            </w:r>
          </w:p>
        </w:tc>
        <w:tc>
          <w:tcPr>
            <w:tcW w:w="800" w:type="dxa"/>
          </w:tcPr>
          <w:p>
            <w:pPr>
              <w:jc w:val="center"/>
              <w:spacing w:after="20"/>
            </w:pPr>
            <w:hyperlink w:anchor="note_5" w:history="1">
              <w:r>
                <w:rPr>
                  <w:color w:val="1F4E3D"/>
                  <w:sz w:val="18"/>
                  <w:szCs w:val="18"/>
                </w:rPr>
                <w:t xml:space="preserve">5</w:t>
              </w:r>
            </w:hyperlink>
          </w:p>
        </w:tc>
        <w:tc>
          <w:tcPr>
            <w:tcW w:w="1500" w:type="dxa"/>
          </w:tcPr>
          <w:p>
            <w:pPr>
              <w:jc w:val="right"/>
              <w:spacing w:after="20"/>
            </w:pPr>
            <w:r>
              <w:rPr>
                <w:sz w:val="18"/>
                <w:szCs w:val="18"/>
              </w:rPr>
              <w:t xml:space="preserve">4 218 650,00</w:t>
            </w:r>
          </w:p>
        </w:tc>
        <w:tc>
          <w:tcPr>
            <w:tcW w:w="1500" w:type="dxa"/>
          </w:tcPr>
          <w:p>
            <w:pPr>
              <w:jc w:val="right"/>
              <w:spacing w:after="20"/>
            </w:pPr>
            <w:r>
              <w:rPr>
                <w:sz w:val="18"/>
                <w:szCs w:val="18"/>
              </w:rPr>
              <w:t xml:space="preserve">3 684 200,00</w:t>
            </w:r>
          </w:p>
        </w:tc>
      </w:tr>
      <w:tr>
        <w:tc>
          <w:tcPr>
            <w:tcW w:w="5226" w:type="dxa"/>
          </w:tcPr>
          <w:p>
            <w:pPr>
              <w:spacing w:after="20"/>
            </w:pPr>
            <w:r>
              <w:rPr>
                <w:sz w:val="18"/>
                <w:szCs w:val="18"/>
              </w:rPr>
              <w:t xml:space="preserve">Intangible assets</w:t>
            </w:r>
          </w:p>
        </w:tc>
        <w:tc>
          <w:tcPr>
            <w:tcW w:w="800" w:type="dxa"/>
          </w:tcPr>
          <w:p>
            <w:pPr>
              <w:jc w:val="center"/>
              <w:spacing w:after="20"/>
            </w:pPr>
          </w:p>
        </w:tc>
        <w:tc>
          <w:tcPr>
            <w:tcW w:w="1500" w:type="dxa"/>
          </w:tcPr>
          <w:p>
            <w:pPr>
              <w:jc w:val="right"/>
              <w:spacing w:after="20"/>
            </w:pPr>
            <w:r>
              <w:rPr>
                <w:sz w:val="18"/>
                <w:szCs w:val="18"/>
              </w:rPr>
              <w:t xml:space="preserve">312 400,00</w:t>
            </w:r>
          </w:p>
        </w:tc>
        <w:tc>
          <w:tcPr>
            <w:tcW w:w="1500" w:type="dxa"/>
          </w:tcPr>
          <w:p>
            <w:pPr>
              <w:jc w:val="right"/>
              <w:spacing w:after="20"/>
            </w:pPr>
            <w:r>
              <w:rPr>
                <w:sz w:val="18"/>
                <w:szCs w:val="18"/>
              </w:rPr>
              <w:t xml:space="preserve">298 100,00</w:t>
            </w:r>
          </w:p>
        </w:tc>
      </w:tr>
      <w:tr>
        <w:tc>
          <w:tcPr>
            <w:tcW w:w="5226" w:type="dxa"/>
          </w:tcPr>
          <w:p>
            <w:pPr>
              <w:spacing w:after="20"/>
            </w:pPr>
            <w:r>
              <w:rPr>
                <w:sz w:val="18"/>
                <w:szCs w:val="18"/>
              </w:rPr>
              <w:t xml:space="preserve">Deferred tax</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186 300,00</w:t>
            </w:r>
          </w:p>
        </w:tc>
        <w:tc>
          <w:tcPr>
            <w:tcW w:w="1500" w:type="dxa"/>
          </w:tcPr>
          <w:p>
            <w:pPr>
              <w:jc w:val="right"/>
              <w:spacing w:after="20"/>
            </w:pPr>
            <w:r>
              <w:rPr>
                <w:sz w:val="18"/>
                <w:szCs w:val="18"/>
              </w:rPr>
              <w:t xml:space="preserve">152 800,00</w:t>
            </w:r>
          </w:p>
        </w:tc>
      </w:tr>
      <w:tr>
        <w:tc>
          <w:tcPr>
            <w:tcW w:w="5226" w:type="dxa"/>
          </w:tcPr>
          <w:p>
            <w:pPr>
              <w:spacing w:after="20"/>
            </w:pPr>
            <w:r>
              <w:rPr>
                <w:b/>
                <w:sz w:val="18"/>
                <w:szCs w:val="18"/>
              </w:rPr>
              <w:t xml:space="preserve">Total non-current assets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4 717 350,00</w:t>
            </w:r>
          </w:p>
        </w:tc>
        <w:tc>
          <w:tcPr>
            <w:tcW w:w="1500" w:type="dxa"/>
            <w:tcBorders>
              <w:top w:val="single" w:sz="4" w:space="0" w:color="595959"/>
            </w:tcBorders>
          </w:tcPr>
          <w:p>
            <w:pPr>
              <w:jc w:val="right"/>
              <w:spacing w:after="20"/>
            </w:pPr>
            <w:r>
              <w:rPr>
                <w:b/>
                <w:sz w:val="18"/>
                <w:szCs w:val="18"/>
              </w:rPr>
              <w:t xml:space="preserve">4 135 100,00</w:t>
            </w:r>
          </w:p>
        </w:tc>
      </w:tr>
      <w:tr>
        <w:tc>
          <w:tcPr>
            <w:tcW w:w="5226" w:type="dxa"/>
          </w:tcPr>
          <w:p>
            <w:pPr>
              <w:spacing w:after="20"/>
            </w:pPr>
            <w:r>
              <w:rPr>
                <w:b/>
                <w:sz w:val="18"/>
                <w:szCs w:val="18"/>
              </w:rPr>
              <w:t xml:space="preserve">Current assets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Inventories</w:t>
            </w:r>
          </w:p>
        </w:tc>
        <w:tc>
          <w:tcPr>
            <w:tcW w:w="800" w:type="dxa"/>
          </w:tcPr>
          <w:p>
            <w:pPr>
              <w:jc w:val="center"/>
              <w:spacing w:after="20"/>
            </w:pPr>
          </w:p>
        </w:tc>
        <w:tc>
          <w:tcPr>
            <w:tcW w:w="1500" w:type="dxa"/>
          </w:tcPr>
          <w:p>
            <w:pPr>
              <w:jc w:val="right"/>
              <w:spacing w:after="20"/>
            </w:pPr>
            <w:r>
              <w:rPr>
                <w:sz w:val="18"/>
                <w:szCs w:val="18"/>
              </w:rPr>
              <w:t xml:space="preserve">2 864 100,00</w:t>
            </w:r>
          </w:p>
        </w:tc>
        <w:tc>
          <w:tcPr>
            <w:tcW w:w="1500" w:type="dxa"/>
          </w:tcPr>
          <w:p>
            <w:pPr>
              <w:jc w:val="right"/>
              <w:spacing w:after="20"/>
            </w:pPr>
            <w:r>
              <w:rPr>
                <w:sz w:val="18"/>
                <w:szCs w:val="18"/>
              </w:rPr>
              <w:t xml:space="preserve">2 510 800,00</w:t>
            </w:r>
          </w:p>
        </w:tc>
      </w:tr>
      <w:tr>
        <w:tc>
          <w:tcPr>
            <w:tcW w:w="5226" w:type="dxa"/>
          </w:tcPr>
          <w:p>
            <w:pPr>
              <w:spacing w:after="20"/>
            </w:pPr>
            <w:r>
              <w:rPr>
                <w:sz w:val="18"/>
                <w:szCs w:val="18"/>
              </w:rPr>
              <w:t xml:space="preserve">Trade and other receivables</w:t>
            </w:r>
          </w:p>
        </w:tc>
        <w:tc>
          <w:tcPr>
            <w:tcW w:w="800" w:type="dxa"/>
          </w:tcPr>
          <w:p>
            <w:pPr>
              <w:jc w:val="center"/>
              <w:spacing w:after="20"/>
            </w:pPr>
          </w:p>
        </w:tc>
        <w:tc>
          <w:tcPr>
            <w:tcW w:w="1500" w:type="dxa"/>
          </w:tcPr>
          <w:p>
            <w:pPr>
              <w:jc w:val="right"/>
              <w:spacing w:after="20"/>
            </w:pPr>
            <w:r>
              <w:rPr>
                <w:sz w:val="18"/>
                <w:szCs w:val="18"/>
              </w:rPr>
              <w:t xml:space="preserve">3 120 540,00</w:t>
            </w:r>
          </w:p>
        </w:tc>
        <w:tc>
          <w:tcPr>
            <w:tcW w:w="1500" w:type="dxa"/>
          </w:tcPr>
          <w:p>
            <w:pPr>
              <w:jc w:val="right"/>
              <w:spacing w:after="20"/>
            </w:pPr>
            <w:r>
              <w:rPr>
                <w:sz w:val="18"/>
                <w:szCs w:val="18"/>
              </w:rPr>
              <w:t xml:space="preserve">2 789 300,00</w:t>
            </w:r>
          </w:p>
        </w:tc>
      </w:tr>
      <w:tr>
        <w:tc>
          <w:tcPr>
            <w:tcW w:w="5226" w:type="dxa"/>
          </w:tcPr>
          <w:p>
            <w:pPr>
              <w:spacing w:after="20"/>
            </w:pPr>
            <w:r>
              <w:rPr>
                <w:sz w:val="18"/>
                <w:szCs w:val="18"/>
              </w:rPr>
              <w:t xml:space="preserve">Cash and cash equivalents</w:t>
            </w:r>
          </w:p>
        </w:tc>
        <w:tc>
          <w:tcPr>
            <w:tcW w:w="800" w:type="dxa"/>
          </w:tcPr>
          <w:p>
            <w:pPr>
              <w:jc w:val="center"/>
              <w:spacing w:after="20"/>
            </w:pPr>
          </w:p>
        </w:tc>
        <w:tc>
          <w:tcPr>
            <w:tcW w:w="1500" w:type="dxa"/>
          </w:tcPr>
          <w:p>
            <w:pPr>
              <w:jc w:val="right"/>
              <w:spacing w:after="20"/>
            </w:pPr>
            <w:r>
              <w:rPr>
                <w:sz w:val="18"/>
                <w:szCs w:val="18"/>
              </w:rPr>
              <w:t xml:space="preserve">1 458 920,00</w:t>
            </w:r>
          </w:p>
        </w:tc>
        <w:tc>
          <w:tcPr>
            <w:tcW w:w="1500" w:type="dxa"/>
          </w:tcPr>
          <w:p>
            <w:pPr>
              <w:jc w:val="right"/>
              <w:spacing w:after="20"/>
            </w:pPr>
            <w:r>
              <w:rPr>
                <w:sz w:val="18"/>
                <w:szCs w:val="18"/>
              </w:rPr>
              <w:t xml:space="preserve">1 119 520,00</w:t>
            </w:r>
          </w:p>
        </w:tc>
      </w:tr>
      <w:tr>
        <w:tc>
          <w:tcPr>
            <w:tcW w:w="5226" w:type="dxa"/>
          </w:tcPr>
          <w:p>
            <w:pPr>
              <w:spacing w:after="20"/>
            </w:pPr>
            <w:r>
              <w:rPr>
                <w:b/>
                <w:sz w:val="18"/>
                <w:szCs w:val="18"/>
              </w:rPr>
              <w:t xml:space="preserve">Total current assets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7 443 560,00</w:t>
            </w:r>
          </w:p>
        </w:tc>
        <w:tc>
          <w:tcPr>
            <w:tcW w:w="1500" w:type="dxa"/>
            <w:tcBorders>
              <w:top w:val="single" w:sz="4" w:space="0" w:color="595959"/>
            </w:tcBorders>
          </w:tcPr>
          <w:p>
            <w:pPr>
              <w:jc w:val="right"/>
              <w:spacing w:after="20"/>
            </w:pPr>
            <w:r>
              <w:rPr>
                <w:b/>
                <w:sz w:val="18"/>
                <w:szCs w:val="18"/>
              </w:rPr>
              <w:t xml:space="preserve">6 419 620,00</w:t>
            </w:r>
          </w:p>
        </w:tc>
      </w:tr>
      <w:tr>
        <w:tc>
          <w:tcPr>
            <w:tcW w:w="5226" w:type="dxa"/>
          </w:tcPr>
          <w:p>
            <w:pPr>
              <w:spacing w:after="20"/>
            </w:pPr>
            <w:r>
              <w:rPr>
                <w:b/>
                <w:sz w:val="18"/>
                <w:szCs w:val="18"/>
              </w:rPr>
              <w:t xml:space="preserve">Total assets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12 160 910,00</w:t>
            </w:r>
          </w:p>
        </w:tc>
        <w:tc>
          <w:tcPr>
            <w:tcW w:w="1500" w:type="dxa"/>
            <w:tcBorders>
              <w:top w:val="single" w:sz="4" w:space="0" w:color="595959"/>
              <w:bottom w:val="double" w:sz="4" w:space="0" w:color="262626"/>
            </w:tcBorders>
          </w:tcPr>
          <w:p>
            <w:pPr>
              <w:jc w:val="right"/>
              <w:spacing w:after="20"/>
            </w:pPr>
            <w:r>
              <w:rPr>
                <w:b/>
                <w:sz w:val="18"/>
                <w:szCs w:val="18"/>
              </w:rPr>
              <w:t xml:space="preserve">10 554 720,00</w:t>
            </w:r>
          </w:p>
        </w:tc>
      </w:tr>
      <w:tr>
        <w:tc>
          <w:tcPr>
            <w:tcW w:w="5226" w:type="dxa"/>
          </w:tcPr>
          <w:p>
            <w:pPr>
              <w:spacing w:after="20"/>
            </w:pPr>
            <w:r>
              <w:rPr>
                <w:b/>
                <w:sz w:val="18"/>
                <w:szCs w:val="18"/>
              </w:rPr>
              <w:t xml:space="preserve">Equity and liabilities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Equity</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Share capital</w:t>
            </w:r>
          </w:p>
        </w:tc>
        <w:tc>
          <w:tcPr>
            <w:tcW w:w="800" w:type="dxa"/>
          </w:tcPr>
          <w:p>
            <w:pPr>
              <w:jc w:val="center"/>
              <w:spacing w:after="20"/>
            </w:pPr>
          </w:p>
        </w:tc>
        <w:tc>
          <w:tcPr>
            <w:tcW w:w="1500" w:type="dxa"/>
          </w:tcPr>
          <w:p>
            <w:pPr>
              <w:jc w:val="right"/>
              <w:spacing w:after="20"/>
            </w:pPr>
            <w:r>
              <w:rPr>
                <w:sz w:val="18"/>
                <w:szCs w:val="18"/>
              </w:rPr>
              <w:t xml:space="preserve">100 000,00</w:t>
            </w:r>
          </w:p>
        </w:tc>
        <w:tc>
          <w:tcPr>
            <w:tcW w:w="1500" w:type="dxa"/>
          </w:tcPr>
          <w:p>
            <w:pPr>
              <w:jc w:val="right"/>
              <w:spacing w:after="20"/>
            </w:pPr>
            <w:r>
              <w:rPr>
                <w:sz w:val="18"/>
                <w:szCs w:val="18"/>
              </w:rPr>
              <w:t xml:space="preserve">100 000,00</w:t>
            </w:r>
          </w:p>
        </w:tc>
      </w:tr>
      <w:tr>
        <w:tc>
          <w:tcPr>
            <w:tcW w:w="5226" w:type="dxa"/>
          </w:tcPr>
          <w:p>
            <w:pPr>
              <w:spacing w:after="20"/>
            </w:pPr>
            <w:r>
              <w:rPr>
                <w:sz w:val="18"/>
                <w:szCs w:val="18"/>
              </w:rPr>
              <w:t xml:space="preserve">Retained earnings</w:t>
            </w:r>
          </w:p>
        </w:tc>
        <w:tc>
          <w:tcPr>
            <w:tcW w:w="800" w:type="dxa"/>
          </w:tcPr>
          <w:p>
            <w:pPr>
              <w:jc w:val="center"/>
              <w:spacing w:after="20"/>
            </w:pPr>
          </w:p>
        </w:tc>
        <w:tc>
          <w:tcPr>
            <w:tcW w:w="1500" w:type="dxa"/>
          </w:tcPr>
          <w:p>
            <w:pPr>
              <w:jc w:val="right"/>
              <w:spacing w:after="20"/>
            </w:pPr>
            <w:r>
              <w:rPr>
                <w:sz w:val="18"/>
                <w:szCs w:val="18"/>
              </w:rPr>
              <w:t xml:space="preserve">6 842 910,00</w:t>
            </w:r>
          </w:p>
        </w:tc>
        <w:tc>
          <w:tcPr>
            <w:tcW w:w="1500" w:type="dxa"/>
          </w:tcPr>
          <w:p>
            <w:pPr>
              <w:jc w:val="right"/>
              <w:spacing w:after="20"/>
            </w:pPr>
            <w:r>
              <w:rPr>
                <w:sz w:val="18"/>
                <w:szCs w:val="18"/>
              </w:rPr>
              <w:t xml:space="preserve">5 180 705,00</w:t>
            </w:r>
          </w:p>
        </w:tc>
      </w:tr>
      <w:tr>
        <w:tc>
          <w:tcPr>
            <w:tcW w:w="5226" w:type="dxa"/>
          </w:tcPr>
          <w:p>
            <w:pPr>
              <w:spacing w:after="20"/>
            </w:pPr>
            <w:r>
              <w:rPr>
                <w:b/>
                <w:sz w:val="18"/>
                <w:szCs w:val="18"/>
              </w:rPr>
              <w:t xml:space="preserve">Total equity</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6 942 910,00</w:t>
            </w:r>
          </w:p>
        </w:tc>
        <w:tc>
          <w:tcPr>
            <w:tcW w:w="1500" w:type="dxa"/>
            <w:tcBorders>
              <w:top w:val="single" w:sz="4" w:space="0" w:color="595959"/>
            </w:tcBorders>
          </w:tcPr>
          <w:p>
            <w:pPr>
              <w:jc w:val="right"/>
              <w:spacing w:after="20"/>
            </w:pPr>
            <w:r>
              <w:rPr>
                <w:b/>
                <w:sz w:val="18"/>
                <w:szCs w:val="18"/>
              </w:rPr>
              <w:t xml:space="preserve">5 280 705,00</w:t>
            </w:r>
          </w:p>
        </w:tc>
      </w:tr>
      <w:tr>
        <w:tc>
          <w:tcPr>
            <w:tcW w:w="5226" w:type="dxa"/>
          </w:tcPr>
          <w:p>
            <w:pPr>
              <w:spacing w:after="20"/>
            </w:pPr>
            <w:r>
              <w:rPr>
                <w:b/>
                <w:sz w:val="18"/>
                <w:szCs w:val="18"/>
              </w:rPr>
              <w:t xml:space="preserve">Non-current liabilities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Borrowings</w:t>
            </w:r>
          </w:p>
        </w:tc>
        <w:tc>
          <w:tcPr>
            <w:tcW w:w="800" w:type="dxa"/>
          </w:tcPr>
          <w:p>
            <w:pPr>
              <w:jc w:val="center"/>
              <w:spacing w:after="20"/>
            </w:pPr>
          </w:p>
        </w:tc>
        <w:tc>
          <w:tcPr>
            <w:tcW w:w="1500" w:type="dxa"/>
          </w:tcPr>
          <w:p>
            <w:pPr>
              <w:jc w:val="right"/>
              <w:spacing w:after="20"/>
            </w:pPr>
            <w:r>
              <w:rPr>
                <w:sz w:val="18"/>
                <w:szCs w:val="18"/>
              </w:rPr>
              <w:t xml:space="preserve">1 650 000,00</w:t>
            </w:r>
          </w:p>
        </w:tc>
        <w:tc>
          <w:tcPr>
            <w:tcW w:w="1500" w:type="dxa"/>
          </w:tcPr>
          <w:p>
            <w:pPr>
              <w:jc w:val="right"/>
              <w:spacing w:after="20"/>
            </w:pPr>
            <w:r>
              <w:rPr>
                <w:sz w:val="18"/>
                <w:szCs w:val="18"/>
              </w:rPr>
              <w:t xml:space="preserve">1 980 000,00</w:t>
            </w:r>
          </w:p>
        </w:tc>
      </w:tr>
      <w:tr>
        <w:tc>
          <w:tcPr>
            <w:tcW w:w="5226" w:type="dxa"/>
          </w:tcPr>
          <w:p>
            <w:pPr>
              <w:spacing w:after="20"/>
            </w:pPr>
            <w:r>
              <w:rPr>
                <w:b/>
                <w:sz w:val="18"/>
                <w:szCs w:val="18"/>
              </w:rPr>
              <w:t xml:space="preserve">Total non-current liabilities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1 650 000,00</w:t>
            </w:r>
          </w:p>
        </w:tc>
        <w:tc>
          <w:tcPr>
            <w:tcW w:w="1500" w:type="dxa"/>
            <w:tcBorders>
              <w:top w:val="single" w:sz="4" w:space="0" w:color="595959"/>
            </w:tcBorders>
          </w:tcPr>
          <w:p>
            <w:pPr>
              <w:jc w:val="right"/>
              <w:spacing w:after="20"/>
            </w:pPr>
            <w:r>
              <w:rPr>
                <w:b/>
                <w:sz w:val="18"/>
                <w:szCs w:val="18"/>
              </w:rPr>
              <w:t xml:space="preserve">1 980 000,00</w:t>
            </w:r>
          </w:p>
        </w:tc>
      </w:tr>
      <w:tr>
        <w:tc>
          <w:tcPr>
            <w:tcW w:w="5226" w:type="dxa"/>
          </w:tcPr>
          <w:p>
            <w:pPr>
              <w:spacing w:after="20"/>
            </w:pPr>
            <w:r>
              <w:rPr>
                <w:b/>
                <w:sz w:val="18"/>
                <w:szCs w:val="18"/>
              </w:rPr>
              <w:t xml:space="preserve">Current liabilities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Trade and other payables</w:t>
            </w:r>
          </w:p>
        </w:tc>
        <w:tc>
          <w:tcPr>
            <w:tcW w:w="800" w:type="dxa"/>
          </w:tcPr>
          <w:p>
            <w:pPr>
              <w:jc w:val="center"/>
              <w:spacing w:after="20"/>
            </w:pPr>
          </w:p>
        </w:tc>
        <w:tc>
          <w:tcPr>
            <w:tcW w:w="1500" w:type="dxa"/>
          </w:tcPr>
          <w:p>
            <w:pPr>
              <w:jc w:val="right"/>
              <w:spacing w:after="20"/>
            </w:pPr>
            <w:r>
              <w:rPr>
                <w:sz w:val="18"/>
                <w:szCs w:val="18"/>
              </w:rPr>
              <w:t xml:space="preserve">2 918 000,00</w:t>
            </w:r>
          </w:p>
        </w:tc>
        <w:tc>
          <w:tcPr>
            <w:tcW w:w="1500" w:type="dxa"/>
          </w:tcPr>
          <w:p>
            <w:pPr>
              <w:jc w:val="right"/>
              <w:spacing w:after="20"/>
            </w:pPr>
            <w:r>
              <w:rPr>
                <w:sz w:val="18"/>
                <w:szCs w:val="18"/>
              </w:rPr>
              <w:t xml:space="preserve">2 642 015,00</w:t>
            </w:r>
          </w:p>
        </w:tc>
      </w:tr>
      <w:tr>
        <w:tc>
          <w:tcPr>
            <w:tcW w:w="5226" w:type="dxa"/>
          </w:tcPr>
          <w:p>
            <w:pPr>
              <w:spacing w:after="20"/>
            </w:pPr>
            <w:r>
              <w:rPr>
                <w:sz w:val="18"/>
                <w:szCs w:val="18"/>
              </w:rPr>
              <w:t xml:space="preserve">Current portion of borrowings</w:t>
            </w:r>
          </w:p>
        </w:tc>
        <w:tc>
          <w:tcPr>
            <w:tcW w:w="800" w:type="dxa"/>
          </w:tcPr>
          <w:p>
            <w:pPr>
              <w:jc w:val="center"/>
              <w:spacing w:after="20"/>
            </w:pPr>
          </w:p>
        </w:tc>
        <w:tc>
          <w:tcPr>
            <w:tcW w:w="1500" w:type="dxa"/>
          </w:tcPr>
          <w:p>
            <w:pPr>
              <w:jc w:val="right"/>
              <w:spacing w:after="20"/>
            </w:pPr>
            <w:r>
              <w:rPr>
                <w:sz w:val="18"/>
                <w:szCs w:val="18"/>
              </w:rPr>
              <w:t xml:space="preserve">550 000,00</w:t>
            </w:r>
          </w:p>
        </w:tc>
        <w:tc>
          <w:tcPr>
            <w:tcW w:w="1500" w:type="dxa"/>
          </w:tcPr>
          <w:p>
            <w:pPr>
              <w:jc w:val="right"/>
              <w:spacing w:after="20"/>
            </w:pPr>
            <w:r>
              <w:rPr>
                <w:sz w:val="18"/>
                <w:szCs w:val="18"/>
              </w:rPr>
              <w:t xml:space="preserve">520 000,00</w:t>
            </w:r>
          </w:p>
        </w:tc>
      </w:tr>
      <w:tr>
        <w:tc>
          <w:tcPr>
            <w:tcW w:w="5226" w:type="dxa"/>
          </w:tcPr>
          <w:p>
            <w:pPr>
              <w:spacing w:after="20"/>
            </w:pPr>
            <w:r>
              <w:rPr>
                <w:sz w:val="18"/>
                <w:szCs w:val="18"/>
              </w:rPr>
              <w:t xml:space="preserve">Current tax payable</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100 000,00</w:t>
            </w:r>
          </w:p>
        </w:tc>
        <w:tc>
          <w:tcPr>
            <w:tcW w:w="1500" w:type="dxa"/>
          </w:tcPr>
          <w:p>
            <w:pPr>
              <w:jc w:val="right"/>
              <w:spacing w:after="20"/>
            </w:pPr>
            <w:r>
              <w:rPr>
                <w:sz w:val="18"/>
                <w:szCs w:val="18"/>
              </w:rPr>
              <w:t xml:space="preserve">132 000,00</w:t>
            </w:r>
          </w:p>
        </w:tc>
      </w:tr>
      <w:tr>
        <w:tc>
          <w:tcPr>
            <w:tcW w:w="5226" w:type="dxa"/>
          </w:tcPr>
          <w:p>
            <w:pPr>
              <w:spacing w:after="20"/>
            </w:pPr>
            <w:r>
              <w:rPr>
                <w:b/>
                <w:sz w:val="18"/>
                <w:szCs w:val="18"/>
              </w:rPr>
              <w:t xml:space="preserve">Total current liabilities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3 568 000,00</w:t>
            </w:r>
          </w:p>
        </w:tc>
        <w:tc>
          <w:tcPr>
            <w:tcW w:w="1500" w:type="dxa"/>
            <w:tcBorders>
              <w:top w:val="single" w:sz="4" w:space="0" w:color="595959"/>
            </w:tcBorders>
          </w:tcPr>
          <w:p>
            <w:pPr>
              <w:jc w:val="right"/>
              <w:spacing w:after="20"/>
            </w:pPr>
            <w:r>
              <w:rPr>
                <w:b/>
                <w:sz w:val="18"/>
                <w:szCs w:val="18"/>
              </w:rPr>
              <w:t xml:space="preserve">3 294 015,00</w:t>
            </w:r>
          </w:p>
        </w:tc>
      </w:tr>
      <w:tr>
        <w:tc>
          <w:tcPr>
            <w:tcW w:w="5226" w:type="dxa"/>
          </w:tcPr>
          <w:p>
            <w:pPr>
              <w:spacing w:after="20"/>
            </w:pPr>
            <w:r>
              <w:rPr>
                <w:b/>
                <w:sz w:val="18"/>
                <w:szCs w:val="18"/>
              </w:rPr>
              <w:t xml:space="preserve">Total equity and liabilities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12 160 910,00</w:t>
            </w:r>
          </w:p>
        </w:tc>
        <w:tc>
          <w:tcPr>
            <w:tcW w:w="1500" w:type="dxa"/>
            <w:tcBorders>
              <w:top w:val="single" w:sz="4" w:space="0" w:color="595959"/>
              <w:bottom w:val="double" w:sz="4" w:space="0" w:color="262626"/>
            </w:tcBorders>
          </w:tcPr>
          <w:p>
            <w:pPr>
              <w:jc w:val="right"/>
              <w:spacing w:after="20"/>
            </w:pPr>
            <w:r>
              <w:rPr>
                <w:b/>
                <w:sz w:val="18"/>
                <w:szCs w:val="18"/>
              </w:rPr>
              <w:t xml:space="preserve">10 554 720,00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sz w:val="18"/>
                <w:szCs w:val="18"/>
              </w:rPr>
              <w:t xml:space="preserve">Revenue</w:t>
            </w:r>
          </w:p>
        </w:tc>
        <w:tc>
          <w:tcPr>
            <w:tcW w:w="800" w:type="dxa"/>
          </w:tcPr>
          <w:p>
            <w:pPr>
              <w:jc w:val="center"/>
              <w:spacing w:after="20"/>
            </w:pPr>
            <w:hyperlink w:anchor="note_4" w:history="1">
              <w:r>
                <w:rPr>
                  <w:color w:val="1F4E3D"/>
                  <w:sz w:val="18"/>
                  <w:szCs w:val="18"/>
                </w:rPr>
                <w:t xml:space="preserve">4</w:t>
              </w:r>
            </w:hyperlink>
          </w:p>
        </w:tc>
        <w:tc>
          <w:tcPr>
            <w:tcW w:w="1500" w:type="dxa"/>
          </w:tcPr>
          <w:p>
            <w:pPr>
              <w:jc w:val="right"/>
              <w:spacing w:after="20"/>
            </w:pPr>
            <w:r>
              <w:rPr>
                <w:sz w:val="18"/>
                <w:szCs w:val="18"/>
              </w:rPr>
              <w:t xml:space="preserve">28 450 300,00</w:t>
            </w:r>
          </w:p>
        </w:tc>
        <w:tc>
          <w:tcPr>
            <w:tcW w:w="1500" w:type="dxa"/>
          </w:tcPr>
          <w:p>
            <w:pPr>
              <w:jc w:val="right"/>
              <w:spacing w:after="20"/>
            </w:pPr>
            <w:r>
              <w:rPr>
                <w:sz w:val="18"/>
                <w:szCs w:val="18"/>
              </w:rPr>
              <w:t xml:space="preserve">25 128 400,00</w:t>
            </w:r>
          </w:p>
        </w:tc>
      </w:tr>
      <w:tr>
        <w:tc>
          <w:tcPr>
            <w:tcW w:w="5226" w:type="dxa"/>
          </w:tcPr>
          <w:p>
            <w:pPr>
              <w:spacing w:after="20"/>
            </w:pPr>
            <w:r>
              <w:rPr>
                <w:sz w:val="18"/>
                <w:szCs w:val="18"/>
              </w:rPr>
              <w:t xml:space="preserve">Cost of sales</w:t>
            </w:r>
          </w:p>
        </w:tc>
        <w:tc>
          <w:tcPr>
            <w:tcW w:w="800" w:type="dxa"/>
          </w:tcPr>
          <w:p>
            <w:pPr>
              <w:jc w:val="center"/>
              <w:spacing w:after="20"/>
            </w:pPr>
          </w:p>
        </w:tc>
        <w:tc>
          <w:tcPr>
            <w:tcW w:w="1500" w:type="dxa"/>
          </w:tcPr>
          <w:p>
            <w:pPr>
              <w:jc w:val="right"/>
              <w:spacing w:after="20"/>
            </w:pPr>
            <w:r>
              <w:rPr>
                <w:sz w:val="18"/>
                <w:szCs w:val="18"/>
              </w:rPr>
              <w:t xml:space="preserve">(19 122 400,00)</w:t>
            </w:r>
          </w:p>
        </w:tc>
        <w:tc>
          <w:tcPr>
            <w:tcW w:w="1500" w:type="dxa"/>
          </w:tcPr>
          <w:p>
            <w:pPr>
              <w:jc w:val="right"/>
              <w:spacing w:after="20"/>
            </w:pPr>
            <w:r>
              <w:rPr>
                <w:sz w:val="18"/>
                <w:szCs w:val="18"/>
              </w:rPr>
              <w:t xml:space="preserve">(16 981 200,00)</w:t>
            </w:r>
          </w:p>
        </w:tc>
      </w:tr>
      <w:tr>
        <w:tc>
          <w:tcPr>
            <w:tcW w:w="5226" w:type="dxa"/>
          </w:tcPr>
          <w:p>
            <w:pPr>
              <w:spacing w:after="20"/>
            </w:pPr>
            <w:r>
              <w:rPr>
                <w:b/>
                <w:sz w:val="18"/>
                <w:szCs w:val="18"/>
              </w:rPr>
              <w:t xml:space="preserve">Gross profit</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9 327 900,00</w:t>
            </w:r>
          </w:p>
        </w:tc>
        <w:tc>
          <w:tcPr>
            <w:tcW w:w="1500" w:type="dxa"/>
            <w:tcBorders>
              <w:top w:val="single" w:sz="4" w:space="0" w:color="595959"/>
            </w:tcBorders>
          </w:tcPr>
          <w:p>
            <w:pPr>
              <w:jc w:val="right"/>
              <w:spacing w:after="20"/>
            </w:pPr>
            <w:r>
              <w:rPr>
                <w:b/>
                <w:sz w:val="18"/>
                <w:szCs w:val="18"/>
              </w:rPr>
              <w:t xml:space="preserve">8 147 200,00</w:t>
            </w:r>
          </w:p>
        </w:tc>
      </w:tr>
      <w:tr>
        <w:tc>
          <w:tcPr>
            <w:tcW w:w="5226" w:type="dxa"/>
          </w:tcPr>
          <w:p>
            <w:pPr>
              <w:spacing w:after="20"/>
            </w:pPr>
            <w:r>
              <w:rPr>
                <w:sz w:val="18"/>
                <w:szCs w:val="18"/>
              </w:rPr>
              <w:t xml:space="preserve">Other income</w:t>
            </w:r>
          </w:p>
        </w:tc>
        <w:tc>
          <w:tcPr>
            <w:tcW w:w="800" w:type="dxa"/>
          </w:tcPr>
          <w:p>
            <w:pPr>
              <w:jc w:val="center"/>
              <w:spacing w:after="20"/>
            </w:pPr>
          </w:p>
        </w:tc>
        <w:tc>
          <w:tcPr>
            <w:tcW w:w="1500" w:type="dxa"/>
          </w:tcPr>
          <w:p>
            <w:pPr>
              <w:jc w:val="right"/>
              <w:spacing w:after="20"/>
            </w:pPr>
            <w:r>
              <w:rPr>
                <w:sz w:val="18"/>
                <w:szCs w:val="18"/>
              </w:rPr>
              <w:t xml:space="preserve">214 600,00</w:t>
            </w:r>
          </w:p>
        </w:tc>
        <w:tc>
          <w:tcPr>
            <w:tcW w:w="1500" w:type="dxa"/>
          </w:tcPr>
          <w:p>
            <w:pPr>
              <w:jc w:val="right"/>
              <w:spacing w:after="20"/>
            </w:pPr>
            <w:r>
              <w:rPr>
                <w:sz w:val="18"/>
                <w:szCs w:val="18"/>
              </w:rPr>
              <w:t xml:space="preserve">186 300,00</w:t>
            </w:r>
          </w:p>
        </w:tc>
      </w:tr>
      <w:tr>
        <w:tc>
          <w:tcPr>
            <w:tcW w:w="5226" w:type="dxa"/>
          </w:tcPr>
          <w:p>
            <w:pPr>
              <w:spacing w:after="20"/>
            </w:pPr>
            <w:r>
              <w:rPr>
                <w:sz w:val="18"/>
                <w:szCs w:val="18"/>
              </w:rPr>
              <w:t xml:space="preserve">Operating expenses</w:t>
            </w:r>
          </w:p>
        </w:tc>
        <w:tc>
          <w:tcPr>
            <w:tcW w:w="800" w:type="dxa"/>
          </w:tcPr>
          <w:p>
            <w:pPr>
              <w:jc w:val="center"/>
              <w:spacing w:after="20"/>
            </w:pPr>
          </w:p>
        </w:tc>
        <w:tc>
          <w:tcPr>
            <w:tcW w:w="1500" w:type="dxa"/>
          </w:tcPr>
          <w:p>
            <w:pPr>
              <w:jc w:val="right"/>
              <w:spacing w:after="20"/>
            </w:pPr>
            <w:r>
              <w:rPr>
                <w:sz w:val="18"/>
                <w:szCs w:val="18"/>
              </w:rPr>
              <w:t xml:space="preserve">(6 890 120,00)</w:t>
            </w:r>
          </w:p>
        </w:tc>
        <w:tc>
          <w:tcPr>
            <w:tcW w:w="1500" w:type="dxa"/>
          </w:tcPr>
          <w:p>
            <w:pPr>
              <w:jc w:val="right"/>
              <w:spacing w:after="20"/>
            </w:pPr>
            <w:r>
              <w:rPr>
                <w:sz w:val="18"/>
                <w:szCs w:val="18"/>
              </w:rPr>
              <w:t xml:space="preserve">(6 128 400,00)</w:t>
            </w:r>
          </w:p>
        </w:tc>
      </w:tr>
      <w:tr>
        <w:tc>
          <w:tcPr>
            <w:tcW w:w="5226" w:type="dxa"/>
          </w:tcPr>
          <w:p>
            <w:pPr>
              <w:spacing w:after="20"/>
            </w:pPr>
            <w:r>
              <w:rPr>
                <w:b/>
                <w:sz w:val="18"/>
                <w:szCs w:val="18"/>
              </w:rPr>
              <w:t xml:space="preserve">Operating profit</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2 652 380,00</w:t>
            </w:r>
          </w:p>
        </w:tc>
        <w:tc>
          <w:tcPr>
            <w:tcW w:w="1500" w:type="dxa"/>
            <w:tcBorders>
              <w:top w:val="single" w:sz="4" w:space="0" w:color="595959"/>
            </w:tcBorders>
          </w:tcPr>
          <w:p>
            <w:pPr>
              <w:jc w:val="right"/>
              <w:spacing w:after="20"/>
            </w:pPr>
            <w:r>
              <w:rPr>
                <w:b/>
                <w:sz w:val="18"/>
                <w:szCs w:val="18"/>
              </w:rPr>
              <w:t xml:space="preserve">2 205 100,00</w:t>
            </w:r>
          </w:p>
        </w:tc>
      </w:tr>
      <w:tr>
        <w:tc>
          <w:tcPr>
            <w:tcW w:w="5226" w:type="dxa"/>
          </w:tcPr>
          <w:p>
            <w:pPr>
              <w:spacing w:after="20"/>
            </w:pPr>
            <w:r>
              <w:rPr>
                <w:sz w:val="18"/>
                <w:szCs w:val="18"/>
              </w:rPr>
              <w:t xml:space="preserve">Finance costs</w:t>
            </w:r>
          </w:p>
        </w:tc>
        <w:tc>
          <w:tcPr>
            <w:tcW w:w="800" w:type="dxa"/>
          </w:tcPr>
          <w:p>
            <w:pPr>
              <w:jc w:val="center"/>
              <w:spacing w:after="20"/>
            </w:pPr>
          </w:p>
        </w:tc>
        <w:tc>
          <w:tcPr>
            <w:tcW w:w="1500" w:type="dxa"/>
          </w:tcPr>
          <w:p>
            <w:pPr>
              <w:jc w:val="right"/>
              <w:spacing w:after="20"/>
            </w:pPr>
            <w:r>
              <w:rPr>
                <w:sz w:val="18"/>
                <w:szCs w:val="18"/>
              </w:rPr>
              <w:t xml:space="preserve">(238 400,00)</w:t>
            </w:r>
          </w:p>
        </w:tc>
        <w:tc>
          <w:tcPr>
            <w:tcW w:w="1500" w:type="dxa"/>
          </w:tcPr>
          <w:p>
            <w:pPr>
              <w:jc w:val="right"/>
              <w:spacing w:after="20"/>
            </w:pPr>
            <w:r>
              <w:rPr>
                <w:sz w:val="18"/>
                <w:szCs w:val="18"/>
              </w:rPr>
              <w:t xml:space="preserve">(265 100,00)</w:t>
            </w:r>
          </w:p>
        </w:tc>
      </w:tr>
      <w:tr>
        <w:tc>
          <w:tcPr>
            <w:tcW w:w="5226" w:type="dxa"/>
          </w:tcPr>
          <w:p>
            <w:pPr>
              <w:spacing w:after="20"/>
            </w:pPr>
            <w:r>
              <w:rPr>
                <w:b/>
                <w:sz w:val="18"/>
                <w:szCs w:val="18"/>
              </w:rPr>
              <w:t xml:space="preserve">Profit before taxation</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2 413 980,00</w:t>
            </w:r>
          </w:p>
        </w:tc>
        <w:tc>
          <w:tcPr>
            <w:tcW w:w="1500" w:type="dxa"/>
            <w:tcBorders>
              <w:top w:val="single" w:sz="4" w:space="0" w:color="595959"/>
            </w:tcBorders>
          </w:tcPr>
          <w:p>
            <w:pPr>
              <w:jc w:val="right"/>
              <w:spacing w:after="20"/>
            </w:pPr>
            <w:r>
              <w:rPr>
                <w:b/>
                <w:sz w:val="18"/>
                <w:szCs w:val="18"/>
              </w:rPr>
              <w:t xml:space="preserve">1 940 000,00</w:t>
            </w:r>
          </w:p>
        </w:tc>
      </w:tr>
      <w:tr>
        <w:tc>
          <w:tcPr>
            <w:tcW w:w="5226" w:type="dxa"/>
          </w:tcPr>
          <w:p>
            <w:pPr>
              <w:spacing w:after="20"/>
            </w:pPr>
            <w:r>
              <w:rPr>
                <w:sz w:val="18"/>
                <w:szCs w:val="18"/>
              </w:rPr>
              <w:t xml:space="preserve">Taxation</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(651 775,00)</w:t>
            </w:r>
          </w:p>
        </w:tc>
        <w:tc>
          <w:tcPr>
            <w:tcW w:w="1500" w:type="dxa"/>
          </w:tcPr>
          <w:p>
            <w:pPr>
              <w:jc w:val="right"/>
              <w:spacing w:after="20"/>
            </w:pPr>
            <w:r>
              <w:rPr>
                <w:sz w:val="18"/>
                <w:szCs w:val="18"/>
              </w:rPr>
              <w:t xml:space="preserve">(523 800,00)</w:t>
            </w:r>
          </w:p>
        </w:tc>
      </w:tr>
      <w:tr>
        <w:tc>
          <w:tcPr>
            <w:tcW w:w="5226" w:type="dxa"/>
          </w:tcPr>
          <w:p>
            <w:pPr>
              <w:spacing w:after="20"/>
            </w:pPr>
            <w:r>
              <w:rPr>
                <w:b/>
                <w:sz w:val="18"/>
                <w:szCs w:val="18"/>
              </w:rPr>
              <w:t xml:space="preserve">Profit for the year</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1 762 205,00</w:t>
            </w:r>
          </w:p>
        </w:tc>
        <w:tc>
          <w:tcPr>
            <w:tcW w:w="1500" w:type="dxa"/>
            <w:tcBorders>
              <w:top w:val="single" w:sz="4" w:space="0" w:color="595959"/>
            </w:tcBorders>
          </w:tcPr>
          <w:p>
            <w:pPr>
              <w:jc w:val="right"/>
              <w:spacing w:after="20"/>
            </w:pPr>
            <w:r>
              <w:rPr>
                <w:b/>
                <w:sz w:val="18"/>
                <w:szCs w:val="18"/>
              </w:rPr>
              <w:t xml:space="preserve">1 416 200,00</w:t>
            </w:r>
          </w:p>
        </w:tc>
      </w:tr>
      <w:tr>
        <w:tc>
          <w:tcPr>
            <w:tcW w:w="5226" w:type="dxa"/>
          </w:tcPr>
          <w:p>
            <w:pPr>
              <w:spacing w:after="20"/>
            </w:pPr>
            <w:r>
              <w:rPr>
                <w:sz w:val="18"/>
                <w:szCs w:val="18"/>
              </w:rPr>
              <w:t xml:space="preserve">Other comprehensive income</w:t>
            </w:r>
          </w:p>
        </w:tc>
        <w:tc>
          <w:tcPr>
            <w:tcW w:w="800" w:type="dxa"/>
          </w:tcPr>
          <w:p>
            <w:pPr>
              <w:jc w:val="center"/>
              <w:spacing w:after="20"/>
            </w:pPr>
          </w:p>
        </w:tc>
        <w:tc>
          <w:tcPr>
            <w:tcW w:w="1500" w:type="dxa"/>
          </w:tcPr>
          <w:p>
            <w:pPr>
              <w:jc w:val="right"/>
              <w:spacing w:after="20"/>
            </w:pPr>
            <w:r>
              <w:rPr>
                <w:sz w:val="18"/>
                <w:szCs w:val="18"/>
              </w:rPr>
              <w:t xml:space="preserve">–</w:t>
            </w:r>
          </w:p>
        </w:tc>
        <w:tc>
          <w:tcPr>
            <w:tcW w:w="1500" w:type="dxa"/>
          </w:tcPr>
          <w:p>
            <w:pPr>
              <w:jc w:val="right"/>
              <w:spacing w:after="20"/>
            </w:pPr>
            <w:r>
              <w:rPr>
                <w:sz w:val="18"/>
                <w:szCs w:val="18"/>
              </w:rPr>
              <w:t xml:space="preserve">–</w:t>
            </w:r>
          </w:p>
        </w:tc>
      </w:tr>
      <w:tr>
        <w:tc>
          <w:tcPr>
            <w:tcW w:w="5226" w:type="dxa"/>
          </w:tcPr>
          <w:p>
            <w:pPr>
              <w:spacing w:after="20"/>
            </w:pPr>
            <w:r>
              <w:rPr>
                <w:b/>
                <w:sz w:val="18"/>
                <w:szCs w:val="18"/>
              </w:rPr>
              <w:t xml:space="preserve">Total comprehensive income for the year</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1 762 205,00</w:t>
            </w:r>
          </w:p>
        </w:tc>
        <w:tc>
          <w:tcPr>
            <w:tcW w:w="1500" w:type="dxa"/>
            <w:tcBorders>
              <w:top w:val="single" w:sz="4" w:space="0" w:color="595959"/>
              <w:bottom w:val="double" w:sz="4" w:space="0" w:color="262626"/>
            </w:tcBorders>
          </w:tcPr>
          <w:p>
            <w:pPr>
              <w:jc w:val="right"/>
              <w:spacing w:after="20"/>
            </w:pPr>
            <w:r>
              <w:rPr>
                <w:b/>
                <w:sz w:val="18"/>
                <w:szCs w:val="18"/>
              </w:rPr>
              <w:t xml:space="preserve">1 416 200,00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sz w:val="18"/>
                <w:szCs w:val="18"/>
              </w:rPr>
              <w:t xml:space="preserve">Balance at 1 April 2025</w:t>
            </w:r>
          </w:p>
        </w:tc>
        <w:tc>
          <w:tcPr>
            <w:tcW w:w="800" w:type="dxa"/>
          </w:tcPr>
          <w:p>
            <w:pPr>
              <w:jc w:val="center"/>
              <w:spacing w:after="20"/>
            </w:pPr>
          </w:p>
        </w:tc>
        <w:tc>
          <w:tcPr>
            <w:tcW w:w="1500" w:type="dxa"/>
          </w:tcPr>
          <w:p>
            <w:pPr>
              <w:jc w:val="right"/>
              <w:spacing w:after="20"/>
            </w:pPr>
            <w:r>
              <w:rPr>
                <w:sz w:val="18"/>
                <w:szCs w:val="18"/>
              </w:rPr>
              <w:t xml:space="preserve">5 180 705,00</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Profit for the year</w:t>
            </w:r>
          </w:p>
        </w:tc>
        <w:tc>
          <w:tcPr>
            <w:tcW w:w="800" w:type="dxa"/>
          </w:tcPr>
          <w:p>
            <w:pPr>
              <w:jc w:val="center"/>
              <w:spacing w:after="20"/>
            </w:pPr>
          </w:p>
        </w:tc>
        <w:tc>
          <w:tcPr>
            <w:tcW w:w="1500" w:type="dxa"/>
          </w:tcPr>
          <w:p>
            <w:pPr>
              <w:jc w:val="right"/>
              <w:spacing w:after="20"/>
            </w:pPr>
            <w:r>
              <w:rPr>
                <w:sz w:val="18"/>
                <w:szCs w:val="18"/>
              </w:rPr>
              <w:t xml:space="preserve">1 762 205,00</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Dividends declared</w:t>
            </w:r>
          </w:p>
        </w:tc>
        <w:tc>
          <w:tcPr>
            <w:tcW w:w="800" w:type="dxa"/>
          </w:tcPr>
          <w:p>
            <w:pPr>
              <w:jc w:val="center"/>
              <w:spacing w:after="20"/>
            </w:pPr>
          </w:p>
        </w:tc>
        <w:tc>
          <w:tcPr>
            <w:tcW w:w="1500" w:type="dxa"/>
          </w:tcPr>
          <w:p>
            <w:pPr>
              <w:jc w:val="right"/>
              <w:spacing w:after="20"/>
            </w:pPr>
            <w:r>
              <w:rPr>
                <w:sz w:val="18"/>
                <w:szCs w:val="18"/>
              </w:rPr>
              <w:t xml:space="preserve">–</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Balance at 31 March 2026</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6 942 910,00</w:t>
            </w:r>
          </w:p>
        </w:tc>
        <w:tc>
          <w:tcPr>
            <w:tcW w:w="1500" w:type="dxa"/>
          </w:tcPr>
          <w:p>
            <w:pPr>
              <w:jc w:val="right"/>
              <w:spacing w:after="20"/>
            </w:pPr>
            <w:r>
              <w:rPr>
                <w:b/>
                <w:sz w:val="18"/>
                <w:szCs w:val="18"/>
              </w:rPr>
              <w:t xml:space="preserve"/>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Layout w:type="fixed"/>
        <w:tblCellMar>
          <w:left w:w="60" w:type="dxa"/>
          <w:right w:w="60" w:type="dxa"/>
        </w:tblCellMar>
      </w:tblPr>
      <w:tblGrid>
        <w:gridCol w:w="5226"/>
        <w:gridCol w:w="800"/>
        <w:gridCol w:w="1500"/>
        <w:gridCol w:w="1500"/>
      </w:tblGrid>
      <w:tr>
        <w:trPr>
          <w:tblHeader/>
        </w:trPr>
        <w:tc>
          <w:tcPr>
            <w:tcW w:w="5226" w:type="dxa"/>
            <w:tcBorders>
              <w:bottom w:val="single" w:sz="6" w:space="0" w:color="404040"/>
            </w:tcBorders>
          </w:tcPr>
          <w:p>
            <w:pPr>
              <w:spacing w:after="20"/>
            </w:pP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c>
          <w:tcPr>
            <w:tcW w:w="1500" w:type="dxa"/>
            <w:tcBorders>
              <w:bottom w:val="single" w:sz="6" w:space="0" w:color="404040"/>
            </w:tcBorders>
          </w:tcPr>
          <w:p>
            <w:pPr>
              <w:jc w:val="right"/>
              <w:spacing w:after="20"/>
            </w:pPr>
            <w:r>
              <w:rPr>
                <w:b/>
                <w:sz w:val="18"/>
                <w:szCs w:val="18"/>
              </w:rPr>
              <w:t xml:space="preserve">2025</w:t>
            </w:r>
            <w:r>
              <w:br/>
            </w:r>
            <w:r>
              <w:rPr>
                <w:i/>
                <w:color w:val="737373"/>
                <w:sz w:val="16"/>
                <w:szCs w:val="16"/>
              </w:rPr>
              <w:t xml:space="preserve">R</w:t>
            </w:r>
          </w:p>
        </w:tc>
      </w:tr>
      <w:tr>
        <w:tc>
          <w:tcPr>
            <w:tcW w:w="5226" w:type="dxa"/>
          </w:tcPr>
          <w:p>
            <w:pPr>
              <w:spacing w:after="20"/>
            </w:pPr>
            <w:r>
              <w:rPr>
                <w:b/>
                <w:sz w:val="18"/>
                <w:szCs w:val="18"/>
              </w:rPr>
              <w:t xml:space="preserve">Cash flows from operating activities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Cash generated from operations</w:t>
            </w:r>
          </w:p>
        </w:tc>
        <w:tc>
          <w:tcPr>
            <w:tcW w:w="800" w:type="dxa"/>
          </w:tcPr>
          <w:p>
            <w:pPr>
              <w:jc w:val="center"/>
              <w:spacing w:after="20"/>
            </w:pPr>
          </w:p>
        </w:tc>
        <w:tc>
          <w:tcPr>
            <w:tcW w:w="1500" w:type="dxa"/>
          </w:tcPr>
          <w:p>
            <w:pPr>
              <w:jc w:val="right"/>
              <w:spacing w:after="20"/>
            </w:pPr>
            <w:r>
              <w:rPr>
                <w:sz w:val="18"/>
                <w:szCs w:val="18"/>
              </w:rPr>
              <w:t xml:space="preserve">2 984 100,00</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Finance costs paid</w:t>
            </w:r>
          </w:p>
        </w:tc>
        <w:tc>
          <w:tcPr>
            <w:tcW w:w="800" w:type="dxa"/>
          </w:tcPr>
          <w:p>
            <w:pPr>
              <w:jc w:val="center"/>
              <w:spacing w:after="20"/>
            </w:pPr>
          </w:p>
        </w:tc>
        <w:tc>
          <w:tcPr>
            <w:tcW w:w="1500" w:type="dxa"/>
          </w:tcPr>
          <w:p>
            <w:pPr>
              <w:jc w:val="right"/>
              <w:spacing w:after="20"/>
            </w:pPr>
            <w:r>
              <w:rPr>
                <w:sz w:val="18"/>
                <w:szCs w:val="18"/>
              </w:rPr>
              <w:t xml:space="preserve">(238 400,00)</w:t>
            </w:r>
          </w:p>
        </w:tc>
        <w:tc>
          <w:tcPr>
            <w:tcW w:w="1500" w:type="dxa"/>
          </w:tcPr>
          <w:p>
            <w:pPr>
              <w:jc w:val="right"/>
              <w:spacing w:after="20"/>
            </w:pPr>
            <w:r>
              <w:rPr>
                <w:sz w:val="18"/>
                <w:szCs w:val="18"/>
              </w:rPr>
              <w:t xml:space="preserve"/>
            </w:r>
          </w:p>
        </w:tc>
      </w:tr>
      <w:tr>
        <w:tc>
          <w:tcPr>
            <w:tcW w:w="5226" w:type="dxa"/>
          </w:tcPr>
          <w:p>
            <w:pPr>
              <w:spacing w:after="20"/>
            </w:pPr>
            <w:r>
              <w:rPr>
                <w:sz w:val="18"/>
                <w:szCs w:val="18"/>
              </w:rPr>
              <w:t xml:space="preserve">Taxation paid</w:t>
            </w:r>
          </w:p>
        </w:tc>
        <w:tc>
          <w:tcPr>
            <w:tcW w:w="800" w:type="dxa"/>
          </w:tcPr>
          <w:p>
            <w:pPr>
              <w:jc w:val="center"/>
              <w:spacing w:after="20"/>
            </w:pPr>
          </w:p>
        </w:tc>
        <w:tc>
          <w:tcPr>
            <w:tcW w:w="1500" w:type="dxa"/>
          </w:tcPr>
          <w:p>
            <w:pPr>
              <w:jc w:val="right"/>
              <w:spacing w:after="20"/>
            </w:pPr>
            <w:r>
              <w:rPr>
                <w:sz w:val="18"/>
                <w:szCs w:val="18"/>
              </w:rPr>
              <w:t xml:space="preserve">(602 300,00)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Net cash from operating activities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2 143 400,00</w:t>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Cash flows from investing activities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Acquisition of property, plant and equipment</w:t>
            </w:r>
          </w:p>
        </w:tc>
        <w:tc>
          <w:tcPr>
            <w:tcW w:w="800" w:type="dxa"/>
          </w:tcPr>
          <w:p>
            <w:pPr>
              <w:jc w:val="center"/>
              <w:spacing w:after="20"/>
            </w:pPr>
          </w:p>
        </w:tc>
        <w:tc>
          <w:tcPr>
            <w:tcW w:w="1500" w:type="dxa"/>
          </w:tcPr>
          <w:p>
            <w:pPr>
              <w:jc w:val="right"/>
              <w:spacing w:after="20"/>
            </w:pPr>
            <w:r>
              <w:rPr>
                <w:sz w:val="18"/>
                <w:szCs w:val="18"/>
              </w:rPr>
              <w:t xml:space="preserve">(1 284 000,00)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Net cash used in investing activities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(1 284 000,00)</w:t>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Cash flows from financing activities</w:t>
            </w:r>
          </w:p>
        </w:tc>
        <w:tc>
          <w:tcPr>
            <w:tcW w:w="800" w:type="dxa"/>
          </w:tcPr>
          <w:p>
            <w:pPr>
              <w:jc w:val="center"/>
              <w:spacing w:after="20"/>
            </w:pP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Repayment of borrowings</w:t>
            </w:r>
          </w:p>
        </w:tc>
        <w:tc>
          <w:tcPr>
            <w:tcW w:w="800" w:type="dxa"/>
          </w:tcPr>
          <w:p>
            <w:pPr>
              <w:jc w:val="center"/>
              <w:spacing w:after="20"/>
            </w:pPr>
          </w:p>
        </w:tc>
        <w:tc>
          <w:tcPr>
            <w:tcW w:w="1500" w:type="dxa"/>
          </w:tcPr>
          <w:p>
            <w:pPr>
              <w:jc w:val="right"/>
              <w:spacing w:after="20"/>
            </w:pPr>
            <w:r>
              <w:rPr>
                <w:sz w:val="18"/>
                <w:szCs w:val="18"/>
              </w:rPr>
              <w:t xml:space="preserve">(520 000,00)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Net cash used in financing activities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(520 000,00)</w:t>
            </w:r>
          </w:p>
        </w:tc>
        <w:tc>
          <w:tcPr>
            <w:tcW w:w="1500" w:type="dxa"/>
          </w:tcPr>
          <w:p>
            <w:pPr>
              <w:jc w:val="right"/>
              <w:spacing w:after="20"/>
            </w:pPr>
            <w:r>
              <w:rPr>
                <w:b/>
                <w:sz w:val="18"/>
                <w:szCs w:val="18"/>
              </w:rPr>
              <w:t xml:space="preserve"/>
            </w:r>
          </w:p>
        </w:tc>
      </w:tr>
      <w:tr>
        <w:tc>
          <w:tcPr>
            <w:tcW w:w="5226" w:type="dxa"/>
          </w:tcPr>
          <w:p>
            <w:pPr>
              <w:spacing w:after="20"/>
            </w:pPr>
            <w:r>
              <w:rPr>
                <w:b/>
                <w:sz w:val="18"/>
                <w:szCs w:val="18"/>
              </w:rPr>
              <w:t xml:space="preserve">Net increase in cash and cash equivalents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339 400,00</w:t>
            </w:r>
          </w:p>
        </w:tc>
        <w:tc>
          <w:tcPr>
            <w:tcW w:w="1500" w:type="dxa"/>
          </w:tcPr>
          <w:p>
            <w:pPr>
              <w:jc w:val="right"/>
              <w:spacing w:after="20"/>
            </w:pPr>
            <w:r>
              <w:rPr>
                <w:b/>
                <w:sz w:val="18"/>
                <w:szCs w:val="18"/>
              </w:rPr>
              <w:t xml:space="preserve"/>
            </w:r>
          </w:p>
        </w:tc>
      </w:tr>
      <w:tr>
        <w:tc>
          <w:tcPr>
            <w:tcW w:w="5226" w:type="dxa"/>
          </w:tcPr>
          <w:p>
            <w:pPr>
              <w:spacing w:after="20"/>
            </w:pPr>
            <w:r>
              <w:rPr>
                <w:sz w:val="18"/>
                <w:szCs w:val="18"/>
              </w:rPr>
              <w:t xml:space="preserve">Cash and cash equivalents at the beginning of the year</w:t>
            </w:r>
          </w:p>
        </w:tc>
        <w:tc>
          <w:tcPr>
            <w:tcW w:w="800" w:type="dxa"/>
          </w:tcPr>
          <w:p>
            <w:pPr>
              <w:jc w:val="center"/>
              <w:spacing w:after="20"/>
            </w:pPr>
          </w:p>
        </w:tc>
        <w:tc>
          <w:tcPr>
            <w:tcW w:w="1500" w:type="dxa"/>
          </w:tcPr>
          <w:p>
            <w:pPr>
              <w:jc w:val="right"/>
              <w:spacing w:after="20"/>
            </w:pPr>
            <w:r>
              <w:rPr>
                <w:sz w:val="18"/>
                <w:szCs w:val="18"/>
              </w:rPr>
              <w:t xml:space="preserve">1 119 520,00</w:t>
            </w:r>
          </w:p>
        </w:tc>
        <w:tc>
          <w:tcPr>
            <w:tcW w:w="1500" w:type="dxa"/>
          </w:tcPr>
          <w:p>
            <w:pPr>
              <w:jc w:val="right"/>
              <w:spacing w:after="20"/>
            </w:pPr>
            <w:r>
              <w:rPr>
                <w:sz w:val="18"/>
                <w:szCs w:val="18"/>
              </w:rPr>
              <w:t xml:space="preserve"/>
            </w:r>
          </w:p>
        </w:tc>
      </w:tr>
      <w:tr>
        <w:tc>
          <w:tcPr>
            <w:tcW w:w="5226" w:type="dxa"/>
          </w:tcPr>
          <w:p>
            <w:pPr>
              <w:spacing w:after="20"/>
            </w:pPr>
            <w:r>
              <w:rPr>
                <w:b/>
                <w:sz w:val="18"/>
                <w:szCs w:val="18"/>
              </w:rPr>
              <w:t xml:space="preserve">Cash and cash equivalents at the end of the year</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1 458 920,00</w:t>
            </w:r>
          </w:p>
        </w:tc>
        <w:tc>
          <w:tcPr>
            <w:tcW w:w="1500" w:type="dxa"/>
          </w:tcPr>
          <w:p>
            <w:pPr>
              <w:jc w:val="right"/>
              <w:spacing w:after="20"/>
            </w:pPr>
            <w:r>
              <w:rPr>
                <w:b/>
                <w:sz w:val="18"/>
                <w:szCs w:val="18"/>
              </w:rPr>
              <w:t xml:space="preserve"/>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bookmarkStart w:id="1" w:name="note_1"/>
      <w:r>
        <w:rPr>
          <w:b/>
          <w:sz w:val="20"/>
          <w:szCs w:val="20"/>
        </w:rPr>
        <w:t xml:space="preserve">Note 1. General information</w:t>
      </w:r>
      <w:bookmarkEnd w:id="1"/>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bookmarkStart w:id="2" w:name="note_2"/>
      <w:r>
        <w:rPr>
          <w:b/>
          <w:sz w:val="20"/>
          <w:szCs w:val="20"/>
        </w:rPr>
        <w:t xml:space="preserve">Note 2. Basis of preparation</w:t>
      </w:r>
      <w:bookmarkEnd w:id="2"/>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bookmarkStart w:id="3" w:name="note_3"/>
      <w:r>
        <w:rPr>
          <w:b/>
          <w:sz w:val="20"/>
          <w:szCs w:val="20"/>
        </w:rPr>
        <w:t xml:space="preserve">Note 3. Significant judgements and sources of estimation uncertainty</w:t>
      </w:r>
      <w:bookmarkEnd w:id="3"/>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bookmarkStart w:id="4" w:name="note_4"/>
      <w:r>
        <w:rPr>
          <w:b/>
          <w:sz w:val="20"/>
          <w:szCs w:val="20"/>
        </w:rPr>
        <w:t xml:space="preserve">Note 4. Revenue</w:t>
      </w:r>
      <w:bookmarkEnd w:id="4"/>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cantSplit/>
          <w:tblHeader/>
        </w:trPr>
        <w:tc>
          <w:tcPr>
            <w:tcW w:w="6026" w:type="dxa"/>
            <w:shd w:val="clear" w:color="auto" w:fill="F2F2F2"/>
          </w:tcPr>
          <w:p>
            <w:pPr>
              <w:keepNext/>
              <w:jc w:val="left"/>
              <w:spacing w:after="20"/>
            </w:pPr>
            <w:r>
              <w:rPr>
                <w:b/>
                <w:sz w:val="18"/>
                <w:szCs w:val="18"/>
              </w:rPr>
              <w:t xml:space="preserve">Description</w:t>
            </w:r>
          </w:p>
        </w:tc>
        <w:tc>
          <w:tcPr>
            <w:tcW w:w="1500" w:type="dxa"/>
            <w:shd w:val="clear" w:color="auto" w:fill="F2F2F2"/>
          </w:tcPr>
          <w:p>
            <w:pPr>
              <w:keepNext/>
              <w:jc w:val="right"/>
              <w:spacing w:after="20"/>
            </w:pPr>
            <w:r>
              <w:rPr>
                <w:b/>
                <w:sz w:val="18"/>
                <w:szCs w:val="18"/>
              </w:rPr>
              <w:t xml:space="preserve">2026</w:t>
            </w:r>
          </w:p>
        </w:tc>
        <w:tc>
          <w:tcPr>
            <w:tcW w:w="1500" w:type="dxa"/>
            <w:shd w:val="clear" w:color="auto" w:fill="F2F2F2"/>
          </w:tcPr>
          <w:p>
            <w:pPr>
              <w:keepNext/>
              <w:jc w:val="right"/>
              <w:spacing w:after="20"/>
            </w:pPr>
            <w:r>
              <w:rPr>
                <w:b/>
                <w:sz w:val="18"/>
                <w:szCs w:val="18"/>
              </w:rPr>
              <w:t xml:space="preserve">2025</w:t>
            </w:r>
          </w:p>
        </w:tc>
      </w:tr>
      <w:tr>
        <w:trPr>
          <w:cantSplit/>
        </w:trP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28 450 300,00</w:t>
            </w:r>
          </w:p>
        </w:tc>
        <w:tc>
          <w:tcPr>
            <w:tcW w:w="1500" w:type="dxa"/>
          </w:tcPr>
          <w:p>
            <w:pPr>
              <w:jc w:val="right"/>
              <w:spacing w:after="20"/>
            </w:pPr>
            <w:r>
              <w:rPr>
                <w:sz w:val="18"/>
                <w:szCs w:val="18"/>
              </w:rPr>
              <w:t xml:space="preserve">25 128 400,00</w:t>
            </w:r>
          </w:p>
        </w:tc>
      </w:tr>
    </w:tbl>
    <w:p>
      <w:pPr>
        <w:spacing w:after="40"/>
      </w:pPr>
      <w:r>
        <w:t xml:space="preserve"/>
      </w:r>
    </w:p>
    <w:p>
      <w:pPr>
        <w:pStyle w:val="Heading2"/>
        <w:spacing w:after="120"/>
      </w:pPr>
      <w:bookmarkStart w:id="5" w:name="note_5"/>
      <w:r>
        <w:rPr>
          <w:b/>
          <w:sz w:val="20"/>
          <w:szCs w:val="20"/>
        </w:rPr>
        <w:t xml:space="preserve">Note 5. Property, plant and equipment</w:t>
      </w:r>
      <w:bookmarkEnd w:id="5"/>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cantSplit/>
          <w:tblHeader/>
        </w:trPr>
        <w:tc>
          <w:tcPr>
            <w:tcW w:w="6026" w:type="dxa"/>
            <w:shd w:val="clear" w:color="auto" w:fill="F2F2F2"/>
          </w:tcPr>
          <w:p>
            <w:pPr>
              <w:keepNext/>
              <w:jc w:val="left"/>
              <w:spacing w:after="20"/>
            </w:pPr>
            <w:r>
              <w:rPr>
                <w:b/>
                <w:sz w:val="18"/>
                <w:szCs w:val="18"/>
              </w:rPr>
              <w:t xml:space="preserve">Description</w:t>
            </w:r>
          </w:p>
        </w:tc>
        <w:tc>
          <w:tcPr>
            <w:tcW w:w="1500" w:type="dxa"/>
            <w:shd w:val="clear" w:color="auto" w:fill="F2F2F2"/>
          </w:tcPr>
          <w:p>
            <w:pPr>
              <w:keepNext/>
              <w:jc w:val="right"/>
              <w:spacing w:after="20"/>
            </w:pPr>
            <w:r>
              <w:rPr>
                <w:b/>
                <w:sz w:val="18"/>
                <w:szCs w:val="18"/>
              </w:rPr>
              <w:t xml:space="preserve">2026</w:t>
            </w:r>
          </w:p>
        </w:tc>
        <w:tc>
          <w:tcPr>
            <w:tcW w:w="1500" w:type="dxa"/>
            <w:shd w:val="clear" w:color="auto" w:fill="F2F2F2"/>
          </w:tcPr>
          <w:p>
            <w:pPr>
              <w:keepNext/>
              <w:jc w:val="right"/>
              <w:spacing w:after="20"/>
            </w:pPr>
            <w:r>
              <w:rPr>
                <w:b/>
                <w:sz w:val="18"/>
                <w:szCs w:val="18"/>
              </w:rPr>
              <w:t xml:space="preserve">2025</w:t>
            </w:r>
          </w:p>
        </w:tc>
      </w:tr>
      <w:tr>
        <w:trPr>
          <w:cantSplit/>
        </w:trP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4 218 650,00</w:t>
            </w:r>
          </w:p>
        </w:tc>
        <w:tc>
          <w:tcPr>
            <w:tcW w:w="1500" w:type="dxa"/>
          </w:tcPr>
          <w:p>
            <w:pPr>
              <w:jc w:val="right"/>
              <w:spacing w:after="20"/>
            </w:pPr>
            <w:r>
              <w:rPr>
                <w:sz w:val="18"/>
                <w:szCs w:val="18"/>
              </w:rPr>
              <w:t xml:space="preserve">3 684 200,00</w:t>
            </w:r>
          </w:p>
        </w:tc>
      </w:tr>
    </w:tbl>
    <w:p>
      <w:pPr>
        <w:spacing w:after="40"/>
      </w:pPr>
      <w:r>
        <w:t xml:space="preserve"/>
      </w:r>
    </w:p>
    <w:p>
      <w:pPr>
        <w:pStyle w:val="Heading2"/>
        <w:spacing w:after="120"/>
      </w:pPr>
      <w:bookmarkStart w:id="6" w:name="note_6"/>
      <w:r>
        <w:rPr>
          <w:b/>
          <w:sz w:val="20"/>
          <w:szCs w:val="20"/>
        </w:rPr>
        <w:t xml:space="preserve">Note 6. Income tax</w:t>
      </w:r>
      <w:bookmarkEnd w:id="6"/>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pStyle w:val="Heading2"/>
        <w:spacing w:after="120"/>
      </w:pPr>
      <w:bookmarkStart w:id="7" w:name="note_7"/>
      <w:r>
        <w:rPr>
          <w:b/>
          <w:sz w:val="20"/>
          <w:szCs w:val="20"/>
        </w:rPr>
        <w:t xml:space="preserve">Note 7. Related party disclosures</w:t>
      </w:r>
      <w:bookmarkEnd w:id="7"/>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pStyle w:val="Heading2"/>
        <w:spacing w:after="120"/>
      </w:pPr>
      <w:bookmarkStart w:id="8" w:name="note_8"/>
      <w:r>
        <w:rPr>
          <w:b/>
          <w:sz w:val="20"/>
          <w:szCs w:val="20"/>
        </w:rPr>
        <w:t xml:space="preserve">Note 8. Events after the end of the reporting period</w:t>
      </w:r>
      <w:bookmarkEnd w:id="8"/>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A. Petersen CA(SA)</w:t>
      </w:r>
    </w:p>
    <w:p>
      <w:pPr>
        <w:spacing w:after="20"/>
      </w:pPr>
      <w:r>
        <w:rPr>
          <w:color w:val="595959"/>
        </w:rPr>
        <w:t xml:space="preserve">Prepared by</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S. Moloi CA(SA)</w:t>
      </w:r>
    </w:p>
    <w:p>
      <w:pPr>
        <w:spacing w:after="20"/>
      </w:pPr>
      <w:r>
        <w:rPr>
          <w:color w:val="595959"/>
        </w:rPr>
        <w:t xml:space="preserve">Reviewer</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R. van der Merwe</w:t>
      </w:r>
    </w:p>
    <w:p>
      <w:pPr>
        <w:spacing w:after="20"/>
      </w:pPr>
      <w:r>
        <w:rPr>
          <w:color w:val="595959"/>
        </w:rPr>
        <w:t xml:space="preserve">Partner</w:t>
      </w:r>
    </w:p>
    <w:p>
      <w:pPr>
        <w:spacing w:after="120"/>
      </w:pPr>
      <w:r>
        <w:rPr>
          <w:color w:val="595959"/>
        </w:rPr>
        <w:t xml:space="preserve">2026-06-24</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T. Nkosi</w:t>
      </w:r>
    </w:p>
    <w:p>
      <w:pPr>
        <w:spacing w:after="20"/>
      </w:pPr>
      <w:r>
        <w:rPr>
          <w:color w:val="595959"/>
        </w:rPr>
        <w:t xml:space="preserve">Company Secretary</w:t>
      </w:r>
    </w:p>
    <w:p>
      <w:pPr>
        <w:spacing w:after="120"/>
      </w:pPr>
      <w:r>
        <w:rPr>
          <w:color w:val="595959"/>
        </w:rPr>
        <w:t xml:space="preserve">2026-06-24</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24 June 2026</w:t>
    </w:r>
  </w:p>
</w:ftr>
</file>

<file path=word/header1.xml><?xml version="1.0" encoding="utf-8"?>
<w:hdr xmlns:w="http://schemas.openxmlformats.org/wordprocessingml/2006/main">
  <w:p>
    <w:pPr>
      <w:pBdr>
        <w:bottom w:val="single" w:sz="4" w:space="1" w:color="1F6B52"/>
      </w:pBdr>
    </w:pPr>
    <w:r>
      <w:rPr>
        <w:b/>
        <w:sz w:val="18"/>
        <w:szCs w:val="18"/>
      </w:rPr>
      <w:t xml:space="preserve">Meridian Trading Solutions (Pty) Ltd</w:t>
    </w:r>
    <w:r>
      <w:br/>
    </w:r>
    <w:r>
      <w:rPr>
        <w:color w:val="595959"/>
        <w:sz w:val="16"/>
        <w:szCs w:val="16"/>
      </w:rPr>
      <w:t xml:space="preserve">Registration number: 2016/348271/07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