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AdminLess Composition Demo (Pty) Ltd</w:t>
      </w:r>
    </w:p>
    <w:p>
      <w:pPr>
        <w:jc w:val="center"/>
        <w:spacing w:after="40"/>
      </w:pPr>
      <w:r>
        <w:rPr>
          <w:color w:val="595959"/>
        </w:rPr>
        <w:t xml:space="preserve">Registration number 2019/440440/07</w:t>
      </w:r>
    </w:p>
    <w:p>
      <w:pPr>
        <w:jc w:val="center"/>
        <w:spacing w:after="40"/>
      </w:pPr>
      <w:r>
        <w:rPr>
          <w:color w:val="595959"/>
        </w:rPr>
        <w:t xml:space="preserve">Trading as Composition Demo</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Borrowing costs</w:t>
      </w:r>
    </w:p>
    <w:p>
      <w:pPr>
        <w:spacing w:after="40"/>
      </w:pPr>
      <w:r>
        <w:t xml:space="preserve">Note 7. Borrowings</w:t>
      </w:r>
    </w:p>
    <w:p>
      <w:pPr>
        <w:spacing w:after="40"/>
      </w:pPr>
      <w:r>
        <w:t xml:space="preserve">Note 8. Financial instruments</w:t>
      </w:r>
    </w:p>
    <w:p>
      <w:pPr>
        <w:spacing w:after="40"/>
      </w:pPr>
      <w:r>
        <w:t xml:space="preserve">Supplementary Information</w:t>
      </w:r>
    </w:p>
    <w:p>
      <w:pPr>
        <w:spacing w:after="40"/>
      </w:pPr>
      <w:r>
        <w:t xml:space="preserve">Reconciliation of property, plant and equipment</w:t>
      </w:r>
    </w:p>
    <w:p>
      <w:pPr>
        <w:spacing w:after="40"/>
      </w:pPr>
      <w:r>
        <w:t xml:space="preserve">Reconciliation of borrowings</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AdminLess Composition Demo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AdminLess Composition Demo (Pty) Ltd for the year ended 31 march 2026.</w:t>
      </w:r>
    </w:p>
    <w:p>
      <w:pPr>
        <w:spacing w:after="40"/>
      </w:pPr>
      <w:r>
        <w:rPr>
          <w:b/>
          <w:sz w:val="20"/>
          <w:szCs w:val="20"/>
        </w:rPr>
        <w:t xml:space="preserve">1. Nature of business</w:t>
      </w:r>
    </w:p>
    <w:p>
      <w:pPr>
        <w:spacing w:after="120"/>
      </w:pPr>
      <w:r>
        <w:t xml:space="preserve">The company is engaged in Manufacture and distribution of industrial equipment.</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S. Chairperson and M. Finance Director.</w:t>
      </w:r>
    </w:p>
    <w:p>
      <w:pPr>
        <w:spacing w:after="40"/>
      </w:pPr>
      <w:r>
        <w:rPr>
          <w:b/>
          <w:sz w:val="20"/>
          <w:szCs w:val="20"/>
        </w:rPr>
        <w:t xml:space="preserve">6. Company secretary</w:t>
      </w:r>
    </w:p>
    <w:p>
      <w:pPr>
        <w:spacing w:after="120"/>
      </w:pPr>
      <w:r>
        <w:t xml:space="preserve">The company secretary is L. Company Secretary, and the registered office of the company is 15 Enterprise Boulevard, Johannesburg, 2001.</w:t>
      </w:r>
    </w:p>
    <w:p>
      <w:pPr>
        <w:spacing w:after="40"/>
      </w:pPr>
      <w:r>
        <w:rPr>
          <w:b/>
          <w:sz w:val="20"/>
          <w:szCs w:val="20"/>
        </w:rPr>
        <w:t xml:space="preserve">7. Auditors</w:t>
      </w:r>
    </w:p>
    <w:p>
      <w:pPr>
        <w:spacing w:after="120"/>
      </w:pPr>
      <w:r>
        <w:t xml:space="preserve">The company's auditors are National Assurance Inc..</w:t>
      </w:r>
    </w:p>
    <w:p>
      <w:pPr>
        <w:pStyle w:val="Heading1"/>
        <w:spacing w:after="120"/>
      </w:pPr>
      <w:r>
        <w:rPr>
          <w:b/>
          <w:sz w:val="26"/>
          <w:szCs w:val="26"/>
        </w:rPr>
        <w:t xml:space="preserve">Independent Auditor's Report</w:t>
      </w:r>
    </w:p>
    <w:p>
      <w:pPr>
        <w:spacing w:after="120"/>
      </w:pPr>
      <w:r>
        <w:t xml:space="preserve">To the shareholders of AdminLess Composition Demo (Pty) Ltd</w:t>
      </w:r>
    </w:p>
    <w:p>
      <w:pPr>
        <w:spacing w:after="120"/>
      </w:pPr>
      <w:r>
        <w:t xml:space="preserve">The independent auditors of the company are National Assurance Inc..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AdminLess Composition Demo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2019/440440/07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Composition Demo</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Manufacture and distribution of industrial equipment.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National Assurance Inc.</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S. Chairperson
M. Finance Director</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FY2026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Property, plant and equipment</w:t>
            </w:r>
          </w:p>
        </w:tc>
        <w:tc>
          <w:tcPr>
            <w:tcW w:w="800" w:type="dxa"/>
          </w:tcPr>
          <w:p>
            <w:pPr>
              <w:jc w:val="center"/>
              <w:spacing w:after="20"/>
            </w:pPr>
            <w:hyperlink w:anchor="note_5" w:history="1">
              <w:r>
                <w:rPr>
                  <w:color w:val="1F4E3D"/>
                  <w:sz w:val="18"/>
                  <w:szCs w:val="18"/>
                </w:rPr>
                <w:t xml:space="preserve">5</w:t>
              </w:r>
            </w:hyperlink>
          </w:p>
        </w:tc>
        <w:tc>
          <w:tcPr>
            <w:tcW w:w="1500" w:type="dxa"/>
          </w:tcPr>
          <w:p>
            <w:pPr>
              <w:jc w:val="right"/>
              <w:spacing w:after="20"/>
            </w:pPr>
            <w:r>
              <w:rPr>
                <w:sz w:val="18"/>
                <w:szCs w:val="18"/>
              </w:rPr>
              <w:t xml:space="preserve">8 500 000,00</w:t>
            </w:r>
          </w:p>
        </w:tc>
      </w:tr>
      <w:tr>
        <w:tc>
          <w:tcPr>
            <w:tcW w:w="6626" w:type="dxa"/>
          </w:tcPr>
          <w:p>
            <w:pPr>
              <w:spacing w:after="20"/>
            </w:pPr>
            <w:r>
              <w:rPr>
                <w:sz w:val="18"/>
                <w:szCs w:val="18"/>
              </w:rPr>
              <w:t xml:space="preserve">Inventories</w:t>
            </w:r>
          </w:p>
        </w:tc>
        <w:tc>
          <w:tcPr>
            <w:tcW w:w="800" w:type="dxa"/>
          </w:tcPr>
          <w:p>
            <w:pPr>
              <w:jc w:val="center"/>
              <w:spacing w:after="20"/>
            </w:pPr>
            <w:hyperlink w:anchor="note_6" w:history="1">
              <w:r>
                <w:rPr>
                  <w:color w:val="1F4E3D"/>
                  <w:sz w:val="18"/>
                  <w:szCs w:val="18"/>
                </w:rPr>
                <w:t xml:space="preserve">6</w:t>
              </w:r>
            </w:hyperlink>
          </w:p>
        </w:tc>
        <w:tc>
          <w:tcPr>
            <w:tcW w:w="1500" w:type="dxa"/>
          </w:tcPr>
          <w:p>
            <w:pPr>
              <w:jc w:val="right"/>
              <w:spacing w:after="20"/>
            </w:pPr>
            <w:r>
              <w:rPr>
                <w:sz w:val="18"/>
                <w:szCs w:val="18"/>
              </w:rPr>
              <w:t xml:space="preserve">2 100 000,00</w:t>
            </w:r>
          </w:p>
        </w:tc>
      </w:tr>
      <w:tr>
        <w:tc>
          <w:tcPr>
            <w:tcW w:w="6626" w:type="dxa"/>
          </w:tcPr>
          <w:p>
            <w:pPr>
              <w:spacing w:after="20"/>
            </w:pPr>
            <w:r>
              <w:rPr>
                <w:sz w:val="18"/>
                <w:szCs w:val="18"/>
              </w:rPr>
              <w:t xml:space="preserve">Trade and other receivables</w:t>
            </w:r>
          </w:p>
        </w:tc>
        <w:tc>
          <w:tcPr>
            <w:tcW w:w="800" w:type="dxa"/>
          </w:tcPr>
          <w:p>
            <w:pPr>
              <w:jc w:val="center"/>
              <w:spacing w:after="20"/>
            </w:pPr>
            <w:hyperlink w:anchor="note_7" w:history="1">
              <w:r>
                <w:rPr>
                  <w:color w:val="1F4E3D"/>
                  <w:sz w:val="18"/>
                  <w:szCs w:val="18"/>
                </w:rPr>
                <w:t xml:space="preserve">7</w:t>
              </w:r>
            </w:hyperlink>
          </w:p>
        </w:tc>
        <w:tc>
          <w:tcPr>
            <w:tcW w:w="1500" w:type="dxa"/>
          </w:tcPr>
          <w:p>
            <w:pPr>
              <w:jc w:val="right"/>
              <w:spacing w:after="20"/>
            </w:pPr>
            <w:r>
              <w:rPr>
                <w:sz w:val="18"/>
                <w:szCs w:val="18"/>
              </w:rPr>
              <w:t xml:space="preserve">1 650 000,00</w:t>
            </w:r>
          </w:p>
        </w:tc>
      </w:tr>
      <w:tr>
        <w:tc>
          <w:tcPr>
            <w:tcW w:w="6626" w:type="dxa"/>
          </w:tcPr>
          <w:p>
            <w:pPr>
              <w:spacing w:after="20"/>
            </w:pPr>
            <w:r>
              <w:rPr>
                <w:sz w:val="18"/>
                <w:szCs w:val="18"/>
              </w:rPr>
              <w:t xml:space="preserve">Cash and cash equivalents</w:t>
            </w:r>
          </w:p>
        </w:tc>
        <w:tc>
          <w:tcPr>
            <w:tcW w:w="800" w:type="dxa"/>
          </w:tcPr>
          <w:p>
            <w:pPr>
              <w:jc w:val="center"/>
              <w:spacing w:after="20"/>
            </w:pPr>
            <w:hyperlink w:anchor="note_16" w:history="1">
              <w:r>
                <w:rPr>
                  <w:color w:val="1F4E3D"/>
                  <w:sz w:val="18"/>
                  <w:szCs w:val="18"/>
                </w:rPr>
                <w:t xml:space="preserve">16</w:t>
              </w:r>
            </w:hyperlink>
          </w:p>
        </w:tc>
        <w:tc>
          <w:tcPr>
            <w:tcW w:w="1500" w:type="dxa"/>
          </w:tcPr>
          <w:p>
            <w:pPr>
              <w:jc w:val="right"/>
              <w:spacing w:after="20"/>
            </w:pPr>
            <w:r>
              <w:rPr>
                <w:sz w:val="18"/>
                <w:szCs w:val="18"/>
              </w:rPr>
              <w:t xml:space="preserve">980 000,00</w:t>
            </w:r>
          </w:p>
        </w:tc>
      </w:tr>
      <w:tr>
        <w:tc>
          <w:tcPr>
            <w:tcW w:w="6626" w:type="dxa"/>
          </w:tcPr>
          <w:p>
            <w:pPr>
              <w:spacing w:after="20"/>
            </w:pPr>
            <w:r>
              <w:rPr>
                <w:b/>
                <w:sz w:val="18"/>
                <w:szCs w:val="18"/>
              </w:rPr>
              <w:t xml:space="preserve">Total assets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13 230 000,00</w:t>
            </w:r>
          </w:p>
        </w:tc>
      </w:tr>
      <w:tr>
        <w:tc>
          <w:tcPr>
            <w:tcW w:w="6626" w:type="dxa"/>
          </w:tcPr>
          <w:p>
            <w:pPr>
              <w:spacing w:after="20"/>
            </w:pPr>
            <w:r>
              <w:rPr>
                <w:sz w:val="18"/>
                <w:szCs w:val="18"/>
              </w:rPr>
              <w:t xml:space="preserve">Share capital</w:t>
            </w:r>
          </w:p>
        </w:tc>
        <w:tc>
          <w:tcPr>
            <w:tcW w:w="800" w:type="dxa"/>
          </w:tcPr>
          <w:p>
            <w:pPr>
              <w:jc w:val="center"/>
              <w:spacing w:after="20"/>
            </w:pPr>
            <w:hyperlink w:anchor="note_14" w:history="1">
              <w:r>
                <w:rPr>
                  <w:color w:val="1F4E3D"/>
                  <w:sz w:val="18"/>
                  <w:szCs w:val="18"/>
                </w:rPr>
                <w:t xml:space="preserve">14</w:t>
              </w:r>
            </w:hyperlink>
          </w:p>
        </w:tc>
        <w:tc>
          <w:tcPr>
            <w:tcW w:w="1500" w:type="dxa"/>
          </w:tcPr>
          <w:p>
            <w:pPr>
              <w:jc w:val="right"/>
              <w:spacing w:after="20"/>
            </w:pPr>
            <w:r>
              <w:rPr>
                <w:sz w:val="18"/>
                <w:szCs w:val="18"/>
              </w:rPr>
              <w:t xml:space="preserve">1 000 000,00</w:t>
            </w:r>
          </w:p>
        </w:tc>
      </w:tr>
      <w:tr>
        <w:tc>
          <w:tcPr>
            <w:tcW w:w="6626" w:type="dxa"/>
          </w:tcPr>
          <w:p>
            <w:pPr>
              <w:spacing w:after="20"/>
            </w:pPr>
            <w:r>
              <w:rPr>
                <w:sz w:val="18"/>
                <w:szCs w:val="18"/>
              </w:rPr>
              <w:t xml:space="preserve">Retained earnings</w:t>
            </w:r>
          </w:p>
        </w:tc>
        <w:tc>
          <w:tcPr>
            <w:tcW w:w="800" w:type="dxa"/>
          </w:tcPr>
          <w:p>
            <w:pPr>
              <w:jc w:val="center"/>
              <w:spacing w:after="20"/>
            </w:pPr>
            <w:hyperlink w:anchor="note_14" w:history="1">
              <w:r>
                <w:rPr>
                  <w:color w:val="1F4E3D"/>
                  <w:sz w:val="18"/>
                  <w:szCs w:val="18"/>
                </w:rPr>
                <w:t xml:space="preserve">14</w:t>
              </w:r>
            </w:hyperlink>
          </w:p>
        </w:tc>
        <w:tc>
          <w:tcPr>
            <w:tcW w:w="1500" w:type="dxa"/>
          </w:tcPr>
          <w:p>
            <w:pPr>
              <w:jc w:val="right"/>
              <w:spacing w:after="20"/>
            </w:pPr>
            <w:r>
              <w:rPr>
                <w:sz w:val="18"/>
                <w:szCs w:val="18"/>
              </w:rPr>
              <w:t xml:space="preserve">8 230 000,00</w:t>
            </w:r>
          </w:p>
        </w:tc>
      </w:tr>
      <w:tr>
        <w:tc>
          <w:tcPr>
            <w:tcW w:w="6626" w:type="dxa"/>
          </w:tcPr>
          <w:p>
            <w:pPr>
              <w:spacing w:after="20"/>
            </w:pPr>
            <w:r>
              <w:rPr>
                <w:sz w:val="18"/>
                <w:szCs w:val="18"/>
              </w:rPr>
              <w:t xml:space="preserve">Trade and other payables</w:t>
            </w:r>
          </w:p>
        </w:tc>
        <w:tc>
          <w:tcPr>
            <w:tcW w:w="800" w:type="dxa"/>
          </w:tcPr>
          <w:p>
            <w:pPr>
              <w:jc w:val="center"/>
              <w:spacing w:after="20"/>
            </w:pPr>
            <w:hyperlink w:anchor="note_8" w:history="1">
              <w:r>
                <w:rPr>
                  <w:color w:val="1F4E3D"/>
                  <w:sz w:val="18"/>
                  <w:szCs w:val="18"/>
                </w:rPr>
                <w:t xml:space="preserve">8</w:t>
              </w:r>
            </w:hyperlink>
          </w:p>
        </w:tc>
        <w:tc>
          <w:tcPr>
            <w:tcW w:w="1500" w:type="dxa"/>
          </w:tcPr>
          <w:p>
            <w:pPr>
              <w:jc w:val="right"/>
              <w:spacing w:after="20"/>
            </w:pPr>
            <w:r>
              <w:rPr>
                <w:sz w:val="18"/>
                <w:szCs w:val="18"/>
              </w:rPr>
              <w:t xml:space="preserve">1 900 000,00</w:t>
            </w:r>
          </w:p>
        </w:tc>
      </w:tr>
      <w:tr>
        <w:tc>
          <w:tcPr>
            <w:tcW w:w="6626" w:type="dxa"/>
          </w:tcPr>
          <w:p>
            <w:pPr>
              <w:spacing w:after="20"/>
            </w:pPr>
            <w:r>
              <w:rPr>
                <w:sz w:val="18"/>
                <w:szCs w:val="18"/>
              </w:rPr>
              <w:t xml:space="preserve">Borrowings</w:t>
            </w:r>
          </w:p>
        </w:tc>
        <w:tc>
          <w:tcPr>
            <w:tcW w:w="800" w:type="dxa"/>
          </w:tcPr>
          <w:p>
            <w:pPr>
              <w:jc w:val="center"/>
              <w:spacing w:after="20"/>
            </w:pPr>
            <w:hyperlink w:anchor="note_9" w:history="1">
              <w:r>
                <w:rPr>
                  <w:color w:val="1F4E3D"/>
                  <w:sz w:val="18"/>
                  <w:szCs w:val="18"/>
                </w:rPr>
                <w:t xml:space="preserve">9</w:t>
              </w:r>
            </w:hyperlink>
          </w:p>
        </w:tc>
        <w:tc>
          <w:tcPr>
            <w:tcW w:w="1500" w:type="dxa"/>
          </w:tcPr>
          <w:p>
            <w:pPr>
              <w:jc w:val="right"/>
              <w:spacing w:after="20"/>
            </w:pPr>
            <w:r>
              <w:rPr>
                <w:sz w:val="18"/>
                <w:szCs w:val="18"/>
              </w:rPr>
              <w:t xml:space="preserve">2 100 000,00</w:t>
            </w:r>
          </w:p>
        </w:tc>
      </w:tr>
      <w:tr>
        <w:tc>
          <w:tcPr>
            <w:tcW w:w="6626" w:type="dxa"/>
          </w:tcPr>
          <w:p>
            <w:pPr>
              <w:spacing w:after="20"/>
            </w:pPr>
            <w:r>
              <w:rPr>
                <w:b/>
                <w:sz w:val="18"/>
                <w:szCs w:val="18"/>
              </w:rPr>
              <w:t xml:space="preserve">Total equity and liabilities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13 230 000,00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Revenue</w:t>
            </w:r>
          </w:p>
        </w:tc>
        <w:tc>
          <w:tcPr>
            <w:tcW w:w="800" w:type="dxa"/>
          </w:tcPr>
          <w:p>
            <w:pPr>
              <w:jc w:val="center"/>
              <w:spacing w:after="20"/>
            </w:pPr>
            <w:hyperlink w:anchor="note_4" w:history="1">
              <w:r>
                <w:rPr>
                  <w:color w:val="1F4E3D"/>
                  <w:sz w:val="18"/>
                  <w:szCs w:val="18"/>
                </w:rPr>
                <w:t xml:space="preserve">4</w:t>
              </w:r>
            </w:hyperlink>
          </w:p>
        </w:tc>
        <w:tc>
          <w:tcPr>
            <w:tcW w:w="1500" w:type="dxa"/>
          </w:tcPr>
          <w:p>
            <w:pPr>
              <w:jc w:val="right"/>
              <w:spacing w:after="20"/>
            </w:pPr>
            <w:r>
              <w:rPr>
                <w:sz w:val="18"/>
                <w:szCs w:val="18"/>
              </w:rPr>
              <w:t xml:space="preserve">18 500 000,00</w:t>
            </w:r>
          </w:p>
        </w:tc>
      </w:tr>
      <w:tr>
        <w:tc>
          <w:tcPr>
            <w:tcW w:w="6626" w:type="dxa"/>
          </w:tcPr>
          <w:p>
            <w:pPr>
              <w:spacing w:after="20"/>
            </w:pPr>
            <w:r>
              <w:rPr>
                <w:b/>
                <w:sz w:val="18"/>
                <w:szCs w:val="18"/>
              </w:rPr>
              <w:t xml:space="preserve">Expenses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14 200 000,00</w:t>
            </w:r>
          </w:p>
        </w:tc>
      </w:tr>
      <w:tr>
        <w:tc>
          <w:tcPr>
            <w:tcW w:w="6626" w:type="dxa"/>
          </w:tcPr>
          <w:p>
            <w:pPr>
              <w:spacing w:after="20"/>
            </w:pPr>
            <w:r>
              <w:rPr>
                <w:sz w:val="18"/>
                <w:szCs w:val="18"/>
              </w:rPr>
              <w:t xml:space="preserve">Finance costs</w:t>
            </w:r>
          </w:p>
        </w:tc>
        <w:tc>
          <w:tcPr>
            <w:tcW w:w="800" w:type="dxa"/>
          </w:tcPr>
          <w:p>
            <w:pPr>
              <w:jc w:val="center"/>
              <w:spacing w:after="20"/>
            </w:pPr>
            <w:hyperlink w:anchor="note_9" w:history="1">
              <w:r>
                <w:rPr>
                  <w:color w:val="1F4E3D"/>
                  <w:sz w:val="18"/>
                  <w:szCs w:val="18"/>
                </w:rPr>
                <w:t xml:space="preserve">9</w:t>
              </w:r>
            </w:hyperlink>
          </w:p>
        </w:tc>
        <w:tc>
          <w:tcPr>
            <w:tcW w:w="1500" w:type="dxa"/>
          </w:tcPr>
          <w:p>
            <w:pPr>
              <w:jc w:val="right"/>
              <w:spacing w:after="20"/>
            </w:pPr>
            <w:r>
              <w:rPr>
                <w:sz w:val="18"/>
                <w:szCs w:val="18"/>
              </w:rPr>
              <w:t xml:space="preserve">420 000,00</w:t>
            </w:r>
          </w:p>
        </w:tc>
      </w:tr>
      <w:tr>
        <w:tc>
          <w:tcPr>
            <w:tcW w:w="6626" w:type="dxa"/>
          </w:tcPr>
          <w:p>
            <w:pPr>
              <w:spacing w:after="20"/>
            </w:pPr>
            <w:r>
              <w:rPr>
                <w:sz w:val="18"/>
                <w:szCs w:val="18"/>
              </w:rPr>
              <w:t xml:space="preserve">Tax expense</w:t>
            </w:r>
          </w:p>
        </w:tc>
        <w:tc>
          <w:tcPr>
            <w:tcW w:w="800" w:type="dxa"/>
          </w:tcPr>
          <w:p>
            <w:pPr>
              <w:jc w:val="center"/>
              <w:spacing w:after="20"/>
            </w:pPr>
            <w:hyperlink w:anchor="note_11" w:history="1">
              <w:r>
                <w:rPr>
                  <w:color w:val="1F4E3D"/>
                  <w:sz w:val="18"/>
                  <w:szCs w:val="18"/>
                </w:rPr>
                <w:t xml:space="preserve">11</w:t>
              </w:r>
            </w:hyperlink>
          </w:p>
        </w:tc>
        <w:tc>
          <w:tcPr>
            <w:tcW w:w="1500" w:type="dxa"/>
          </w:tcPr>
          <w:p>
            <w:pPr>
              <w:jc w:val="right"/>
              <w:spacing w:after="20"/>
            </w:pPr>
            <w:r>
              <w:rPr>
                <w:sz w:val="18"/>
                <w:szCs w:val="18"/>
              </w:rPr>
              <w:t xml:space="preserve">972 500,00</w:t>
            </w:r>
          </w:p>
        </w:tc>
      </w:tr>
      <w:tr>
        <w:tc>
          <w:tcPr>
            <w:tcW w:w="6626" w:type="dxa"/>
          </w:tcPr>
          <w:p>
            <w:pPr>
              <w:spacing w:after="20"/>
            </w:pPr>
            <w:r>
              <w:rPr>
                <w:b/>
                <w:sz w:val="18"/>
                <w:szCs w:val="18"/>
              </w:rPr>
              <w:t xml:space="preserve">Profit before tax</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3 880 000,00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Opening equity</w:t>
            </w:r>
          </w:p>
        </w:tc>
        <w:tc>
          <w:tcPr>
            <w:tcW w:w="800" w:type="dxa"/>
          </w:tcPr>
          <w:p>
            <w:pPr>
              <w:jc w:val="center"/>
              <w:spacing w:after="20"/>
            </w:pPr>
          </w:p>
        </w:tc>
        <w:tc>
          <w:tcPr>
            <w:tcW w:w="1500" w:type="dxa"/>
          </w:tcPr>
          <w:p>
            <w:pPr>
              <w:jc w:val="right"/>
              <w:spacing w:after="20"/>
            </w:pPr>
            <w:r>
              <w:rPr>
                <w:sz w:val="18"/>
                <w:szCs w:val="18"/>
              </w:rPr>
              <w:t xml:space="preserve">6 322 500,00</w:t>
            </w:r>
          </w:p>
        </w:tc>
      </w:tr>
      <w:tr>
        <w:tc>
          <w:tcPr>
            <w:tcW w:w="6626" w:type="dxa"/>
          </w:tcPr>
          <w:p>
            <w:pPr>
              <w:spacing w:after="20"/>
            </w:pPr>
            <w:r>
              <w:rPr>
                <w:sz w:val="18"/>
                <w:szCs w:val="18"/>
              </w:rPr>
              <w:t xml:space="preserve">Profit for the period</w:t>
            </w:r>
          </w:p>
        </w:tc>
        <w:tc>
          <w:tcPr>
            <w:tcW w:w="800" w:type="dxa"/>
          </w:tcPr>
          <w:p>
            <w:pPr>
              <w:jc w:val="center"/>
              <w:spacing w:after="20"/>
            </w:pPr>
          </w:p>
        </w:tc>
        <w:tc>
          <w:tcPr>
            <w:tcW w:w="1500" w:type="dxa"/>
          </w:tcPr>
          <w:p>
            <w:pPr>
              <w:jc w:val="right"/>
              <w:spacing w:after="20"/>
            </w:pPr>
            <w:r>
              <w:rPr>
                <w:sz w:val="18"/>
                <w:szCs w:val="18"/>
              </w:rPr>
              <w:t xml:space="preserve">2 907 500,00</w:t>
            </w:r>
          </w:p>
        </w:tc>
      </w:tr>
      <w:tr>
        <w:tc>
          <w:tcPr>
            <w:tcW w:w="6626" w:type="dxa"/>
          </w:tcPr>
          <w:p>
            <w:pPr>
              <w:spacing w:after="20"/>
            </w:pPr>
            <w:r>
              <w:rPr>
                <w:b/>
                <w:sz w:val="18"/>
                <w:szCs w:val="18"/>
              </w:rPr>
              <w:t xml:space="preserve">Closing equity</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9 230 000,00</w:t>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Net cash from operating activities</w:t>
            </w:r>
          </w:p>
        </w:tc>
        <w:tc>
          <w:tcPr>
            <w:tcW w:w="800" w:type="dxa"/>
          </w:tcPr>
          <w:p>
            <w:pPr>
              <w:jc w:val="center"/>
              <w:spacing w:after="20"/>
            </w:pPr>
            <w:hyperlink w:anchor="note_16" w:history="1">
              <w:r>
                <w:rPr>
                  <w:color w:val="1F4E3D"/>
                  <w:sz w:val="18"/>
                  <w:szCs w:val="18"/>
                </w:rPr>
                <w:t xml:space="preserve">16</w:t>
              </w:r>
            </w:hyperlink>
          </w:p>
        </w:tc>
        <w:tc>
          <w:tcPr>
            <w:tcW w:w="1500" w:type="dxa"/>
          </w:tcPr>
          <w:p>
            <w:pPr>
              <w:jc w:val="right"/>
              <w:spacing w:after="20"/>
            </w:pPr>
            <w:r>
              <w:rPr>
                <w:sz w:val="18"/>
                <w:szCs w:val="18"/>
              </w:rPr>
              <w:t xml:space="preserve">3 100 000,00</w:t>
            </w:r>
          </w:p>
        </w:tc>
      </w:tr>
      <w:tr>
        <w:tc>
          <w:tcPr>
            <w:tcW w:w="6626" w:type="dxa"/>
          </w:tcPr>
          <w:p>
            <w:pPr>
              <w:spacing w:after="20"/>
            </w:pPr>
            <w:r>
              <w:rPr>
                <w:sz w:val="18"/>
                <w:szCs w:val="18"/>
              </w:rPr>
              <w:t xml:space="preserve">Net cash from investing activities</w:t>
            </w:r>
          </w:p>
        </w:tc>
        <w:tc>
          <w:tcPr>
            <w:tcW w:w="800" w:type="dxa"/>
          </w:tcPr>
          <w:p>
            <w:pPr>
              <w:jc w:val="center"/>
              <w:spacing w:after="20"/>
            </w:pPr>
            <w:hyperlink w:anchor="note_16" w:history="1">
              <w:r>
                <w:rPr>
                  <w:color w:val="1F4E3D"/>
                  <w:sz w:val="18"/>
                  <w:szCs w:val="18"/>
                </w:rPr>
                <w:t xml:space="preserve">16</w:t>
              </w:r>
            </w:hyperlink>
          </w:p>
        </w:tc>
        <w:tc>
          <w:tcPr>
            <w:tcW w:w="1500" w:type="dxa"/>
          </w:tcPr>
          <w:p>
            <w:pPr>
              <w:jc w:val="right"/>
              <w:spacing w:after="20"/>
            </w:pPr>
            <w:r>
              <w:rPr>
                <w:sz w:val="18"/>
                <w:szCs w:val="18"/>
              </w:rPr>
              <w:t xml:space="preserve">(1 250 000,00)</w:t>
            </w:r>
          </w:p>
        </w:tc>
      </w:tr>
      <w:tr>
        <w:tc>
          <w:tcPr>
            <w:tcW w:w="6626" w:type="dxa"/>
          </w:tcPr>
          <w:p>
            <w:pPr>
              <w:spacing w:after="20"/>
            </w:pPr>
            <w:r>
              <w:rPr>
                <w:sz w:val="18"/>
                <w:szCs w:val="18"/>
              </w:rPr>
              <w:t xml:space="preserve">Net cash from financing activities</w:t>
            </w:r>
          </w:p>
        </w:tc>
        <w:tc>
          <w:tcPr>
            <w:tcW w:w="800" w:type="dxa"/>
          </w:tcPr>
          <w:p>
            <w:pPr>
              <w:jc w:val="center"/>
              <w:spacing w:after="20"/>
            </w:pPr>
            <w:hyperlink w:anchor="note_16" w:history="1">
              <w:r>
                <w:rPr>
                  <w:color w:val="1F4E3D"/>
                  <w:sz w:val="18"/>
                  <w:szCs w:val="18"/>
                </w:rPr>
                <w:t xml:space="preserve">16</w:t>
              </w:r>
            </w:hyperlink>
          </w:p>
        </w:tc>
        <w:tc>
          <w:tcPr>
            <w:tcW w:w="1500" w:type="dxa"/>
          </w:tcPr>
          <w:p>
            <w:pPr>
              <w:jc w:val="right"/>
              <w:spacing w:after="20"/>
            </w:pPr>
            <w:r>
              <w:rPr>
                <w:sz w:val="18"/>
                <w:szCs w:val="18"/>
              </w:rPr>
              <w:t xml:space="preserve">(870 000,00)</w:t>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bookmarkStart w:id="1" w:name="note_1"/>
      <w:r>
        <w:rPr>
          <w:b/>
          <w:sz w:val="20"/>
          <w:szCs w:val="20"/>
        </w:rPr>
        <w:t xml:space="preserve">Note 1. General information</w:t>
      </w:r>
      <w:bookmarkEnd w:id="1"/>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bookmarkStart w:id="2" w:name="note_2"/>
      <w:r>
        <w:rPr>
          <w:b/>
          <w:sz w:val="20"/>
          <w:szCs w:val="20"/>
        </w:rPr>
        <w:t xml:space="preserve">Note 2. Basis of preparation</w:t>
      </w:r>
      <w:bookmarkEnd w:id="2"/>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bookmarkStart w:id="3" w:name="note_3"/>
      <w:r>
        <w:rPr>
          <w:b/>
          <w:sz w:val="20"/>
          <w:szCs w:val="20"/>
        </w:rPr>
        <w:t xml:space="preserve">Note 3. Significant judgements and sources of estimation uncertainty</w:t>
      </w:r>
      <w:bookmarkEnd w:id="3"/>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bookmarkStart w:id="4" w:name="note_4"/>
      <w:r>
        <w:rPr>
          <w:b/>
          <w:sz w:val="20"/>
          <w:szCs w:val="20"/>
        </w:rPr>
        <w:t xml:space="preserve">Note 4. Revenue</w:t>
      </w:r>
      <w:bookmarkEnd w:id="4"/>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pStyle w:val="Heading2"/>
        <w:spacing w:after="120"/>
      </w:pPr>
      <w:bookmarkStart w:id="5" w:name="note_5"/>
      <w:r>
        <w:rPr>
          <w:b/>
          <w:sz w:val="20"/>
          <w:szCs w:val="20"/>
        </w:rPr>
        <w:t xml:space="preserve">Note 5. Property, plant and equipment</w:t>
      </w:r>
      <w:bookmarkEnd w:id="5"/>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bookmarkStart w:id="6" w:name="note_6"/>
      <w:r>
        <w:rPr>
          <w:b/>
          <w:sz w:val="20"/>
          <w:szCs w:val="20"/>
        </w:rPr>
        <w:t xml:space="preserve">Note 6. Inventories</w:t>
      </w:r>
      <w:bookmarkEnd w:id="6"/>
    </w:p>
    <w:p>
      <w:pPr>
        <w:spacing w:after="120"/>
      </w:pPr>
      <w:r>
        <w:t xml:space="preserve">Inventories are stated at the lower of cost and estimated selling price less costs to complete and sell. The carrying amounts by category and any write-down recognised as an expense are set out below.</w:t>
      </w:r>
    </w:p>
    <w:p>
      <w:pPr>
        <w:pStyle w:val="Heading2"/>
        <w:spacing w:after="120"/>
      </w:pPr>
      <w:bookmarkStart w:id="7" w:name="note_7"/>
      <w:r>
        <w:rPr>
          <w:b/>
          <w:sz w:val="20"/>
          <w:szCs w:val="20"/>
        </w:rPr>
        <w:t xml:space="preserve">Note 7. Trade and other receivables</w:t>
      </w:r>
      <w:bookmarkEnd w:id="7"/>
    </w:p>
    <w:p>
      <w:pPr>
        <w:spacing w:after="120"/>
      </w:pPr>
      <w:r>
        <w:t xml:space="preserve">Trade and other receivables are basic financial assets measured at amortised cost less any impairment. The analysis of receivables is set out below.</w:t>
      </w:r>
    </w:p>
    <w:p>
      <w:pPr>
        <w:pStyle w:val="Heading2"/>
        <w:spacing w:after="120"/>
      </w:pPr>
      <w:bookmarkStart w:id="8" w:name="note_8"/>
      <w:r>
        <w:rPr>
          <w:b/>
          <w:sz w:val="20"/>
          <w:szCs w:val="20"/>
        </w:rPr>
        <w:t xml:space="preserve">Note 8. Trade and other payables</w:t>
      </w:r>
      <w:bookmarkEnd w:id="8"/>
    </w:p>
    <w:p>
      <w:pPr>
        <w:spacing w:after="120"/>
      </w:pPr>
      <w:r>
        <w:t xml:space="preserve">Trade and other payables are basic financial liabilities measured at amortised cost. The analysis by class is set out below.</w:t>
      </w:r>
    </w:p>
    <w:p>
      <w:pPr>
        <w:pStyle w:val="Heading2"/>
        <w:spacing w:after="120"/>
      </w:pPr>
      <w:bookmarkStart w:id="9" w:name="note_9"/>
      <w:r>
        <w:rPr>
          <w:b/>
          <w:sz w:val="20"/>
          <w:szCs w:val="20"/>
        </w:rPr>
        <w:t xml:space="preserve">Note 9. Borrowings</w:t>
      </w:r>
      <w:bookmarkEnd w:id="9"/>
    </w:p>
    <w:p>
      <w:pPr>
        <w:spacing w:after="120"/>
      </w:pPr>
      <w:r>
        <w:t xml:space="preserve">Borrowings are basic financial liabilities measured at amortised cost using the effective interest method. The analysis of borrowings, including the current and non-current portions, is set out below. Where there has been a breach of loan covenants that has not been remedied at the reporting date, the particulars of the breach are disclosed.</w:t>
      </w:r>
    </w:p>
    <w:p>
      <w:pPr>
        <w:pStyle w:val="Heading2"/>
        <w:spacing w:after="120"/>
      </w:pPr>
      <w:bookmarkStart w:id="10" w:name="note_10"/>
      <w:r>
        <w:rPr>
          <w:b/>
          <w:sz w:val="20"/>
          <w:szCs w:val="20"/>
        </w:rPr>
        <w:t xml:space="preserve">Note 10. Financial instruments</w:t>
      </w:r>
      <w:bookmarkEnd w:id="10"/>
    </w:p>
    <w:p>
      <w:pPr>
        <w:spacing w:after="120"/>
      </w:pPr>
      <w:r>
        <w:t xml:space="preserve">Financial instruments are classified as basic financial instruments within Section 11 or as other financial instruments within Section 12. Basic debt instruments are measured at amortised cost using the effective interest method, less impairment. Other financial instruments are measured at fair value through profit or loss, except where Section 12 requires or permits cost less impairment.</w:t>
      </w:r>
    </w:p>
    <w:p>
      <w:pPr>
        <w:spacing w:after="120"/>
      </w:pPr>
      <w:r>
        <w:t xml:space="preserve">The carrying amounts of financial assets and financial liabilities by category are set out below.</w:t>
      </w:r>
    </w:p>
    <w:p>
      <w:pPr>
        <w:pStyle w:val="Heading2"/>
        <w:spacing w:after="120"/>
      </w:pPr>
      <w:bookmarkStart w:id="11" w:name="note_11"/>
      <w:r>
        <w:rPr>
          <w:b/>
          <w:sz w:val="20"/>
          <w:szCs w:val="20"/>
        </w:rPr>
        <w:t xml:space="preserve">Note 11. Income tax</w:t>
      </w:r>
      <w:bookmarkEnd w:id="11"/>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pStyle w:val="Heading2"/>
        <w:spacing w:after="120"/>
      </w:pPr>
      <w:bookmarkStart w:id="12" w:name="note_12"/>
      <w:r>
        <w:rPr>
          <w:b/>
          <w:sz w:val="20"/>
          <w:szCs w:val="20"/>
        </w:rPr>
        <w:t xml:space="preserve">Note 12. Borrowing costs</w:t>
      </w:r>
      <w:bookmarkEnd w:id="12"/>
    </w:p>
    <w:p>
      <w:pPr>
        <w:spacing w:after="120"/>
      </w:pPr>
      <w:r>
        <w:t xml:space="preserve">All borrowing costs are recognised as an expense in profit or loss in the period in which they are incurred. The amount of borrowing costs recognised as an expense during the period is disclosed with finance costs in profit or loss.</w:t>
      </w:r>
    </w:p>
    <w:p>
      <w:pPr>
        <w:pStyle w:val="Heading2"/>
        <w:spacing w:after="120"/>
      </w:pPr>
      <w:bookmarkStart w:id="13" w:name="note_13"/>
      <w:r>
        <w:rPr>
          <w:b/>
          <w:sz w:val="20"/>
          <w:szCs w:val="20"/>
        </w:rPr>
        <w:t xml:space="preserve">Note 13. Related party disclosures</w:t>
      </w:r>
      <w:bookmarkEnd w:id="13"/>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pStyle w:val="Heading2"/>
        <w:spacing w:after="120"/>
      </w:pPr>
      <w:bookmarkStart w:id="14" w:name="note_14"/>
      <w:r>
        <w:rPr>
          <w:b/>
          <w:sz w:val="20"/>
          <w:szCs w:val="20"/>
        </w:rPr>
        <w:t xml:space="preserve">Note 14. Share capital and equity</w:t>
      </w:r>
      <w:bookmarkEnd w:id="14"/>
    </w:p>
    <w:p>
      <w:pPr>
        <w:spacing w:after="120"/>
      </w:pPr>
      <w:r>
        <w:t xml:space="preserve">The authorised and issued share capital of the entity, including any shares issued or redeemed during the period and rights, preferences and restrictions, are set out below. For entities without share capital, information equivalent to that required for share capital is presented for each category of equity.</w:t>
      </w:r>
    </w:p>
    <w:p>
      <w:pPr>
        <w:pStyle w:val="Heading2"/>
        <w:spacing w:after="120"/>
      </w:pPr>
      <w:bookmarkStart w:id="15" w:name="note_15"/>
      <w:r>
        <w:rPr>
          <w:b/>
          <w:sz w:val="20"/>
          <w:szCs w:val="20"/>
        </w:rPr>
        <w:t xml:space="preserve">Note 15. Events after the end of the reporting period</w:t>
      </w:r>
      <w:bookmarkEnd w:id="15"/>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2"/>
        <w:spacing w:after="120"/>
      </w:pPr>
      <w:bookmarkStart w:id="16" w:name="note_16"/>
      <w:r>
        <w:rPr>
          <w:b/>
          <w:sz w:val="20"/>
          <w:szCs w:val="20"/>
        </w:rPr>
        <w:t xml:space="preserve">Note 16. Notes to the statement of cash flows</w:t>
      </w:r>
      <w:bookmarkEnd w:id="16"/>
    </w:p>
    <w:p>
      <w:pPr>
        <w:spacing w:after="120"/>
      </w:pPr>
      <w:r>
        <w:t xml:space="preserve">Cash and cash equivalents comprise cash on hand and demand deposits, and other short-term highly liquid investments readily convertible to known amounts of cash. The reconciliation of profit or loss to cash generated from operations, and the major classes of cash flows, are set out below.</w:t>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L. Company Secretary</w:t>
      </w:r>
    </w:p>
    <w:p>
      <w:pPr>
        <w:spacing w:after="20"/>
      </w:pPr>
      <w:r>
        <w:rPr>
          <w:color w:val="595959"/>
        </w:rPr>
        <w:t xml:space="preserve">Company Secretary</w:t>
      </w:r>
    </w:p>
    <w:p>
      <w:pPr>
        <w:spacing w:after="120"/>
      </w:pPr>
      <w:r>
        <w:rPr>
          <w:color w:val="595959"/>
        </w:rPr>
        <w:t xml:space="preserve">[Date]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28 September 2026</w:t>
    </w:r>
  </w:p>
</w:ftr>
</file>

<file path=word/header1.xml><?xml version="1.0" encoding="utf-8"?>
<w:hdr xmlns:w="http://schemas.openxmlformats.org/wordprocessingml/2006/main">
  <w:p>
    <w:pPr>
      <w:pBdr>
        <w:bottom w:val="single" w:sz="4" w:space="1" w:color="1F6B52"/>
      </w:pBdr>
    </w:pPr>
    <w:r>
      <w:rPr>
        <w:b/>
        <w:sz w:val="18"/>
        <w:szCs w:val="18"/>
      </w:rPr>
      <w:t xml:space="preserve">AdminLess Composition Demo (Pty) Ltd</w:t>
    </w:r>
    <w:r>
      <w:br/>
    </w:r>
    <w:r>
      <w:rPr>
        <w:color w:val="595959"/>
        <w:sz w:val="16"/>
        <w:szCs w:val="16"/>
      </w:rPr>
      <w:t xml:space="preserve">Registration number: 2019/440440/07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