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8,500,000.00</w:t>
            </w:r>
          </w:p>
        </w:tc>
      </w:tr>
      <w:tr>
        <w:tc>
          <w:tcPr>
            <w:tcW w:w="6026" w:type="dxa"/>
          </w:tcPr>
          <w:p>
            <w:pPr>
              <w:jc w:val="left"/>
              <w:spacing w:after="20"/>
            </w:pPr>
            <w:r>
              <w:rPr>
                <w:sz w:val="18"/>
                <w:szCs w:val="18"/>
              </w:rPr>
              <w:t xml:space="preserve">Inventories</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2,100,000.00</w:t>
            </w:r>
          </w:p>
        </w:tc>
      </w:tr>
      <w:tr>
        <w:tc>
          <w:tcPr>
            <w:tcW w:w="60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7</w:t>
            </w:r>
          </w:p>
        </w:tc>
        <w:tc>
          <w:tcPr>
            <w:tcW w:w="1500" w:type="dxa"/>
          </w:tcPr>
          <w:p>
            <w:pPr>
              <w:jc w:val="right"/>
              <w:spacing w:after="20"/>
            </w:pPr>
            <w:r>
              <w:rPr>
                <w:sz w:val="18"/>
                <w:szCs w:val="18"/>
              </w:rPr>
              <w:t xml:space="preserve">1,650,000.00</w:t>
            </w:r>
          </w:p>
        </w:tc>
      </w:tr>
      <w:tr>
        <w:tc>
          <w:tcPr>
            <w:tcW w:w="60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980,000.00</w:t>
            </w:r>
          </w:p>
        </w:tc>
      </w:tr>
      <w:tr>
        <w:tc>
          <w:tcPr>
            <w:tcW w:w="60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r>
        <w:tc>
          <w:tcPr>
            <w:tcW w:w="60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1,000,000.00</w:t>
            </w:r>
          </w:p>
        </w:tc>
      </w:tr>
      <w:tr>
        <w:tc>
          <w:tcPr>
            <w:tcW w:w="60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8,230,000.00</w:t>
            </w:r>
          </w:p>
        </w:tc>
      </w:tr>
      <w:tr>
        <w:tc>
          <w:tcPr>
            <w:tcW w:w="60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8</w:t>
            </w:r>
          </w:p>
        </w:tc>
        <w:tc>
          <w:tcPr>
            <w:tcW w:w="1500" w:type="dxa"/>
          </w:tcPr>
          <w:p>
            <w:pPr>
              <w:jc w:val="right"/>
              <w:spacing w:after="20"/>
            </w:pPr>
            <w:r>
              <w:rPr>
                <w:sz w:val="18"/>
                <w:szCs w:val="18"/>
              </w:rPr>
              <w:t xml:space="preserve">1,900,000.00</w:t>
            </w:r>
          </w:p>
        </w:tc>
      </w:tr>
      <w:tr>
        <w:tc>
          <w:tcPr>
            <w:tcW w:w="6026" w:type="dxa"/>
          </w:tcPr>
          <w:p>
            <w:pPr>
              <w:jc w:val="left"/>
              <w:spacing w:after="20"/>
            </w:pPr>
            <w:r>
              <w:rPr>
                <w:sz w:val="18"/>
                <w:szCs w:val="18"/>
              </w:rPr>
              <w:t xml:space="preserve">Borrowings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2,100,000.00</w:t>
            </w:r>
          </w:p>
        </w:tc>
      </w:tr>
      <w:tr>
        <w:tc>
          <w:tcPr>
            <w:tcW w:w="60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18,500,000.00</w:t>
            </w:r>
          </w:p>
        </w:tc>
      </w:tr>
      <w:tr>
        <w:tc>
          <w:tcPr>
            <w:tcW w:w="6026" w:type="dxa"/>
          </w:tcPr>
          <w:p>
            <w:pPr>
              <w:jc w:val="left"/>
              <w:spacing w:after="20"/>
            </w:pPr>
            <w:r>
              <w:rPr>
                <w:sz w:val="18"/>
                <w:szCs w:val="18"/>
              </w:rPr>
              <w:t xml:space="preserve">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14,200,000.00</w:t>
            </w:r>
          </w:p>
        </w:tc>
      </w:tr>
      <w:tr>
        <w:tc>
          <w:tcPr>
            <w:tcW w:w="60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420,000.00</w:t>
            </w:r>
          </w:p>
        </w:tc>
      </w:tr>
      <w:tr>
        <w:tc>
          <w:tcPr>
            <w:tcW w:w="6026" w:type="dxa"/>
          </w:tcPr>
          <w:p>
            <w:pPr>
              <w:jc w:val="left"/>
              <w:spacing w:after="20"/>
            </w:pPr>
            <w:r>
              <w:rPr>
                <w:sz w:val="18"/>
                <w:szCs w:val="18"/>
              </w:rPr>
              <w:t xml:space="preserve">Tax expense</w:t>
            </w:r>
          </w:p>
        </w:tc>
        <w:tc>
          <w:tcPr>
            <w:tcW w:w="1500" w:type="dxa"/>
          </w:tcPr>
          <w:p>
            <w:pPr>
              <w:jc w:val="left"/>
              <w:spacing w:after="20"/>
            </w:pPr>
            <w:r>
              <w:rPr>
                <w:sz w:val="18"/>
                <w:szCs w:val="18"/>
              </w:rPr>
              <w:t xml:space="preserve">11</w:t>
            </w:r>
          </w:p>
        </w:tc>
        <w:tc>
          <w:tcPr>
            <w:tcW w:w="1500" w:type="dxa"/>
          </w:tcPr>
          <w:p>
            <w:pPr>
              <w:jc w:val="right"/>
              <w:spacing w:after="20"/>
            </w:pPr>
            <w:r>
              <w:rPr>
                <w:sz w:val="18"/>
                <w:szCs w:val="18"/>
              </w:rPr>
              <w:t xml:space="preserve">972,500.00</w:t>
            </w:r>
          </w:p>
        </w:tc>
      </w:tr>
      <w:tr>
        <w:tc>
          <w:tcPr>
            <w:tcW w:w="6026" w:type="dxa"/>
          </w:tcPr>
          <w:p>
            <w:pPr>
              <w:jc w:val="left"/>
              <w:spacing w:after="20"/>
            </w:pPr>
            <w:r>
              <w:rPr>
                <w:b/>
                <w:sz w:val="18"/>
                <w:szCs w:val="18"/>
              </w:rPr>
              <w:t xml:space="preserve">Profit before tax</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3,880,000.00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Opening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6,322,500.00</w:t>
            </w:r>
          </w:p>
        </w:tc>
      </w:tr>
      <w:tr>
        <w:tc>
          <w:tcPr>
            <w:tcW w:w="6026" w:type="dxa"/>
          </w:tcPr>
          <w:p>
            <w:pPr>
              <w:jc w:val="left"/>
              <w:spacing w:after="20"/>
            </w:pPr>
            <w:r>
              <w:rPr>
                <w:sz w:val="18"/>
                <w:szCs w:val="18"/>
              </w:rPr>
              <w:t xml:space="preserve">Profit for the period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2,907,500.00</w:t>
            </w:r>
          </w:p>
        </w:tc>
      </w:tr>
      <w:tr>
        <w:tc>
          <w:tcPr>
            <w:tcW w:w="6026" w:type="dxa"/>
          </w:tcPr>
          <w:p>
            <w:pPr>
              <w:jc w:val="left"/>
              <w:spacing w:after="20"/>
            </w:pPr>
            <w:r>
              <w:rPr>
                <w:b/>
                <w:sz w:val="18"/>
                <w:szCs w:val="18"/>
              </w:rPr>
              <w:t xml:space="preserve">Closing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9,230,000.00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Net cash from operating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3,100,000.00</w:t>
            </w:r>
          </w:p>
        </w:tc>
      </w:tr>
      <w:tr>
        <w:tc>
          <w:tcPr>
            <w:tcW w:w="6026" w:type="dxa"/>
          </w:tcPr>
          <w:p>
            <w:pPr>
              <w:jc w:val="left"/>
              <w:spacing w:after="20"/>
            </w:pPr>
            <w:r>
              <w:rPr>
                <w:sz w:val="18"/>
                <w:szCs w:val="18"/>
              </w:rPr>
              <w:t xml:space="preserve">Net cash from investing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(1,250,000.00)</w:t>
            </w:r>
          </w:p>
        </w:tc>
      </w:tr>
      <w:tr>
        <w:tc>
          <w:tcPr>
            <w:tcW w:w="6026" w:type="dxa"/>
          </w:tcPr>
          <w:p>
            <w:pPr>
              <w:jc w:val="left"/>
              <w:spacing w:after="20"/>
            </w:pPr>
            <w:r>
              <w:rPr>
                <w:sz w:val="18"/>
                <w:szCs w:val="18"/>
              </w:rPr>
              <w:t xml:space="preserve">Net cash from financing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(870,000.00)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8 500 000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Inventories</w:t>
      </w:r>
    </w:p>
    <w:p>
      <w:pPr>
        <w:spacing w:after="120"/>
      </w:pPr>
      <w:r>
        <w:t xml:space="preserve">Inventories are stated at the lower of cost and estimated selling price less costs to complete and sell. The carrying amounts by category and any write-down recognised as an expense are set out below.</w:t>
      </w:r>
    </w:p>
    <w:p>
      <w:pPr>
        <w:spacing w:after="40"/>
      </w:pPr>
      <w:r>
        <w:rPr>
          <w:b/>
        </w:rPr>
        <w:t xml:space="preserve">Inventories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Inventories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Inventories are stated at the lower of cost and estimated selling price less costs to complete and sell. The carrying amounts by category and any write-down recognised as an expense are set out below.</w:t>
      </w:r>
    </w:p>
    <w:p>
      <w:pPr>
        <w:pStyle w:val="Heading2"/>
        <w:spacing w:after="120"/>
      </w:pPr>
      <w:r>
        <w:rPr>
          <w:b/>
          <w:sz w:val="20"/>
          <w:szCs w:val="20"/>
        </w:rPr>
        <w:t xml:space="preserve">Note 7. Trade and other receivables</w:t>
      </w:r>
    </w:p>
    <w:p>
      <w:pPr>
        <w:spacing w:after="120"/>
      </w:pPr>
      <w:r>
        <w:t xml:space="preserve">Trade and other receivables are basic financial assets measured at amortised cost less any impairment. The analysis of receivables is set out below.</w:t>
      </w:r>
    </w:p>
    <w:p>
      <w:pPr>
        <w:spacing w:after="40"/>
      </w:pPr>
      <w:r>
        <w:rPr>
          <w:b/>
        </w:rPr>
        <w:t xml:space="preserve">Trade and other receivables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receivables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Trade and other payables</w:t>
      </w:r>
    </w:p>
    <w:p>
      <w:pPr>
        <w:spacing w:after="120"/>
      </w:pPr>
      <w:r>
        <w:t xml:space="preserve">Trade and other payables are basic financial liabilities measured at amortised cost. The analysis by class is set out below.</w:t>
      </w:r>
    </w:p>
    <w:p>
      <w:pPr>
        <w:spacing w:after="40"/>
      </w:pPr>
      <w:r>
        <w:rPr>
          <w:b/>
        </w:rPr>
        <w:t xml:space="preserve">Trade and other payables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payables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9. Borrowings</w:t>
      </w:r>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spacing w:after="40"/>
      </w:pPr>
      <w:r>
        <w:rPr>
          <w:b/>
        </w:rPr>
        <w:t xml:space="preserve">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Borrowings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10. Financial instruments</w:t>
      </w:r>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spacing w:after="40"/>
      </w:pPr>
      <w:r>
        <w:rPr>
          <w:b/>
        </w:rPr>
        <w:t xml:space="preserve">Categories of financial instruments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Categories of financial instruments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11.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12. Borrowing costs</w:t>
      </w:r>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r>
        <w:rPr>
          <w:b/>
          <w:sz w:val="20"/>
          <w:szCs w:val="20"/>
        </w:rPr>
        <w:t xml:space="preserve">Note 13.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14. Share capital and equity</w:t>
      </w:r>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spacing w:after="40"/>
      </w:pPr>
      <w:r>
        <w:rPr>
          <w:b/>
        </w:rPr>
        <w:t xml:space="preserve">Share capital</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Share capital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15.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r>
        <w:rPr>
          <w:b/>
          <w:sz w:val="20"/>
          <w:szCs w:val="20"/>
        </w:rPr>
        <w:t xml:space="preserve">Note 16. Notes to the statement of cash flows</w:t>
      </w:r>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w:t>
            </w:r>
          </w:p>
        </w:tc>
      </w:tr>
      <w:tr>
        <w:tc>
          <w:tcPr>
            <w:tcW w:w="75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w:t>
            </w:r>
          </w:p>
        </w:tc>
      </w:tr>
      <w:tr>
        <w:tc>
          <w:tcPr>
            <w:tcW w:w="75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3 September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