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after="80"/>
      </w:pPr>
      <w:r>
        <w:rPr>
          <w:b/>
          <w:color w:val="122E47"/>
          <w:sz w:val="44"/>
          <w:szCs w:val="44"/>
        </w:rPr>
        <w:t xml:space="preserve">Meridian Trading Solutions (Pty) Ltd</w:t>
      </w:r>
    </w:p>
    <w:p>
      <w:pPr>
        <w:jc w:val="center"/>
        <w:spacing w:after="40"/>
      </w:pPr>
      <w:r>
        <w:rPr>
          <w:color w:val="595959"/>
        </w:rPr>
        <w:t xml:space="preserve">Registration number 2016/348271/07</w:t>
      </w:r>
    </w:p>
    <w:p>
      <w:pPr>
        <w:jc w:val="center"/>
        <w:spacing w:after="40"/>
      </w:pPr>
      <w:r>
        <w:rPr>
          <w:color w:val="595959"/>
        </w:rPr>
        <w:t xml:space="preserve">Trading as Meridian Trading</w:t>
      </w:r>
    </w:p>
    <w:p>
      <w:pPr>
        <w:jc w:val="center"/>
        <w:spacing w:after="40"/>
      </w:pPr>
      <w:r>
        <w:rPr>
          <w:b/>
          <w:color w:val="122E47"/>
          <w:sz w:val="28"/>
          <w:szCs w:val="28"/>
        </w:rPr>
        <w:t xml:space="preserve">Annual Financial Statements</w:t>
      </w:r>
    </w:p>
    <w:p>
      <w:pPr>
        <w:jc w:val="center"/>
        <w:spacing w:after="40"/>
      </w:pPr>
      <w:r>
        <w:t xml:space="preserve">Year ended 31 March 2026</w:t>
      </w:r>
    </w:p>
    <w:p>
      <w:pPr>
        <w:jc w:val="center"/>
        <w:spacing w:after="20"/>
      </w:pPr>
      <w:r>
        <w:t xml:space="preserve">Prepared in accordance with IFRS for SMEs</w:t>
      </w:r>
    </w:p>
    <w:p>
      <w:pPr>
        <w:jc w:val="center"/>
        <w:spacing w:after="120"/>
      </w:pPr>
      <w:r>
        <w:rPr>
          <w:color w:val="595959"/>
        </w:rPr>
        <w:t xml:space="preserve">Figures are stated in South African Rand</w:t>
      </w:r>
    </w:p>
    <w:p>
      <w:pPr>
        <w:jc w:val="center"/>
        <w:spacing w:after="20"/>
      </w:pPr>
      <w:r>
        <w:rPr>
          <w:b/>
          <w:color w:val="122E47"/>
          <w:sz w:val="18"/>
          <w:szCs w:val="18"/>
        </w:rPr>
        <w:t xml:space="preserve">AdminLess Fin</w:t>
      </w:r>
    </w:p>
    <w:p>
      <w:pPr>
        <w:jc w:val="center"/>
        <w:spacing w:after="200"/>
      </w:pPr>
      <w:r>
        <w:rPr>
          <w:color w:val="595959"/>
          <w:sz w:val="16"/>
          <w:szCs w:val="16"/>
        </w:rPr>
        <w:t xml:space="preserve">Enterprise Accounts Production</w:t>
      </w:r>
    </w:p>
    <w:p>
      <w:pPr>
        <w:pStyle w:val="Heading1"/>
        <w:spacing w:after="120"/>
      </w:pPr>
      <w:r>
        <w:rPr>
          <w:b/>
          <w:sz w:val="26"/>
          <w:szCs w:val="26"/>
        </w:rPr>
        <w:t xml:space="preserve">Contents</w:t>
      </w:r>
    </w:p>
    <w:p>
      <w:pPr>
        <w:spacing w:after="40"/>
      </w:pPr>
      <w:r>
        <w:t xml:space="preserve">Directors' Responsibilities and Approval</w:t>
      </w:r>
    </w:p>
    <w:p>
      <w:pPr>
        <w:spacing w:after="40"/>
      </w:pPr>
      <w:r>
        <w:t xml:space="preserve">Directors' Report</w:t>
      </w:r>
    </w:p>
    <w:p>
      <w:pPr>
        <w:spacing w:after="40"/>
      </w:pPr>
      <w:r>
        <w:t xml:space="preserve">Independent Auditor's Report</w:t>
      </w:r>
    </w:p>
    <w:p>
      <w:pPr>
        <w:spacing w:after="40"/>
      </w:pPr>
      <w:r>
        <w:t xml:space="preserve">Statement of Financial Position</w:t>
      </w:r>
    </w:p>
    <w:p>
      <w:pPr>
        <w:spacing w:after="40"/>
      </w:pPr>
      <w:r>
        <w:t xml:space="preserve">Statement of Profit or Loss and Other Comprehensive Income</w:t>
      </w:r>
    </w:p>
    <w:p>
      <w:pPr>
        <w:spacing w:after="40"/>
      </w:pPr>
      <w:r>
        <w:t xml:space="preserve">Statement of Changes in Equity</w:t>
      </w:r>
    </w:p>
    <w:p>
      <w:pPr>
        <w:spacing w:after="40"/>
      </w:pPr>
      <w:r>
        <w:t xml:space="preserve">Statement of Cash Flows</w:t>
      </w:r>
    </w:p>
    <w:p>
      <w:pPr>
        <w:spacing w:after="40"/>
      </w:pPr>
      <w:r>
        <w:t xml:space="preserve">Notes to the Annual Financial Statements</w:t>
      </w:r>
    </w:p>
    <w:p>
      <w:pPr>
        <w:spacing w:after="40"/>
      </w:pPr>
      <w:r>
        <w:t xml:space="preserve">Supplementary Information</w:t>
      </w:r>
    </w:p>
    <w:p>
      <w:pPr>
        <w:spacing w:after="40"/>
      </w:pPr>
      <w:r>
        <w:t xml:space="preserve">Approval of Annual Financial Statements</w:t>
      </w:r>
    </w:p>
    <w:p>
      <w:pPr>
        <w:pStyle w:val="Heading1"/>
        <w:spacing w:after="120"/>
      </w:pPr>
      <w:r>
        <w:rPr>
          <w:b/>
          <w:sz w:val="26"/>
          <w:szCs w:val="26"/>
        </w:rPr>
        <w:t xml:space="preserve">Directors' Responsibilities and Approval</w:t>
      </w:r>
    </w:p>
    <w:p>
      <w:pPr>
        <w:spacing w:after="120"/>
      </w:pPr>
      <w:r>
        <w:t xml:space="preserve">The directors are required by the Companies Act of South Africa to maintain adequate accounting records and are responsible for the content and integrity of the annual financial statements of Meridian Trading Solutions (Pty) Ltd and related financial information included in this report. It is their responsibility to ensure that the annual financial statements fairly present the state of affairs of the company as at the end of the financial year and the results of its operations and cash flows for the period then ended, in conformity with IFRS for SMEs.</w:t>
      </w:r>
    </w:p>
    <w:p>
      <w:pPr>
        <w:spacing w:after="120"/>
      </w:pPr>
      <w:r>
        <w:t xml:space="preserve">The directors acknowledge that they are ultimately responsible for the system of internal financial control established by the company and place considerable importance on maintaining a strong control environment. To enable the directors to meet these responsibilities, the board sets standards for internal control aimed at reducing the risk of error or loss in a cost-effective manner.</w:t>
      </w:r>
    </w:p>
    <w:p>
      <w:pPr>
        <w:spacing w:after="120"/>
      </w:pPr>
      <w:r>
        <w:t xml:space="preserve">The directors are of the opinion, based on the information and explanations given by management, that the system of internal control provides reasonable assurance that the financial records may be relied on for the preparation of the annual financial statements. However, any system of internal financial control can provide only reasonable, and not absolute, assurance against material misstatement or loss.</w:t>
      </w:r>
    </w:p>
    <w:p>
      <w:pPr>
        <w:spacing w:after="120"/>
      </w:pPr>
      <w:r>
        <w:t xml:space="preserve">The directors have reviewed the company's cash flow forecast for the year ahead and, in light of this review and the current financial position, they are satisfied that the company has access to adequate resources to continue in operational existence for the foreseeable future.</w:t>
      </w:r>
    </w:p>
    <w:p>
      <w:pPr>
        <w:spacing w:after="120"/>
      </w:pPr>
      <w:r>
        <w:t xml:space="preserve">The annual financial statements set out on the pages that follow, which have been prepared on the going concern basis, were approved by the board of directors and are signed on its behalf by the directors whose signatures appear in the approval section of this report.</w:t>
      </w:r>
    </w:p>
    <w:p>
      <w:pPr>
        <w:pStyle w:val="Heading1"/>
        <w:spacing w:after="120"/>
      </w:pPr>
      <w:r>
        <w:rPr>
          <w:b/>
          <w:sz w:val="26"/>
          <w:szCs w:val="26"/>
        </w:rPr>
        <w:t xml:space="preserve">Directors' Report</w:t>
      </w:r>
    </w:p>
    <w:p>
      <w:pPr>
        <w:spacing w:after="120"/>
      </w:pPr>
      <w:r>
        <w:t xml:space="preserve">The directors have pleasure in submitting their report on the annual financial statements of Meridian Trading Solutions (Pty) Ltd for the year ended 31 march 2026.</w:t>
      </w:r>
    </w:p>
    <w:p>
      <w:pPr>
        <w:spacing w:after="40"/>
      </w:pPr>
      <w:r>
        <w:rPr>
          <w:b/>
          <w:sz w:val="20"/>
          <w:szCs w:val="20"/>
        </w:rPr>
        <w:t xml:space="preserve">1. Nature of business</w:t>
      </w:r>
    </w:p>
    <w:p>
      <w:pPr>
        <w:spacing w:after="120"/>
      </w:pPr>
      <w:r>
        <w:t xml:space="preserve">The wholesale distribution of industrial hardware and the provision of related logistics services</w:t>
      </w:r>
    </w:p>
    <w:p>
      <w:pPr>
        <w:spacing w:after="40"/>
      </w:pPr>
      <w:r>
        <w:rPr>
          <w:b/>
          <w:sz w:val="20"/>
          <w:szCs w:val="20"/>
        </w:rPr>
        <w:t xml:space="preserve">2. Review of financial results and activities</w:t>
      </w:r>
    </w:p>
    <w:p>
      <w:pPr>
        <w:spacing w:after="120"/>
      </w:pPr>
      <w:r>
        <w:t xml:space="preserve">The financial results and position of the company are fully set out in the annual financial statements and require no further comment. The directors consider that the statements fairly present the financial affairs of the company.</w:t>
      </w:r>
    </w:p>
    <w:p>
      <w:pPr>
        <w:spacing w:after="40"/>
      </w:pPr>
      <w:r>
        <w:rPr>
          <w:b/>
          <w:sz w:val="20"/>
          <w:szCs w:val="20"/>
        </w:rPr>
        <w:t xml:space="preserve">3. Going concern</w:t>
      </w:r>
    </w:p>
    <w:p>
      <w:pPr>
        <w:spacing w:after="120"/>
      </w:pPr>
      <w:r>
        <w:t xml:space="preserve">The directors believe that the company has adequate financial resources to continue in operation for the foreseeable future and accordingly the annual financial statements have been prepared on a going concern basis. The directors have satisfied themselves that the company is in a sound financial position and that it has access to sufficient borrowing facilities to meet its foreseeable cash requirements.</w:t>
      </w:r>
    </w:p>
    <w:p>
      <w:pPr>
        <w:spacing w:after="40"/>
      </w:pPr>
      <w:r>
        <w:rPr>
          <w:b/>
          <w:sz w:val="20"/>
          <w:szCs w:val="20"/>
        </w:rPr>
        <w:t xml:space="preserve">4. Events after the reporting period</w:t>
      </w:r>
    </w:p>
    <w:p>
      <w:pPr>
        <w:spacing w:after="120"/>
      </w:pPr>
      <w:r>
        <w:t xml:space="preserve">The directors are not aware of any material event which occurred after the reporting date and up to the date of this report that would require adjustment to, or disclosure in, the annual financial statements, other than those disclosed in the notes.</w:t>
      </w:r>
    </w:p>
    <w:p>
      <w:pPr>
        <w:spacing w:after="40"/>
      </w:pPr>
      <w:r>
        <w:rPr>
          <w:b/>
          <w:sz w:val="20"/>
          <w:szCs w:val="20"/>
        </w:rPr>
        <w:t xml:space="preserve">5. Directors</w:t>
      </w:r>
    </w:p>
    <w:p>
      <w:pPr>
        <w:spacing w:after="120"/>
      </w:pPr>
      <w:r>
        <w:t xml:space="preserve">The directors in office at the date of this report are R. van der Merwe, L. Khumalo and P. Naidoo.</w:t>
      </w:r>
    </w:p>
    <w:p>
      <w:pPr>
        <w:spacing w:after="40"/>
      </w:pPr>
      <w:r>
        <w:rPr>
          <w:b/>
          <w:sz w:val="20"/>
          <w:szCs w:val="20"/>
        </w:rPr>
        <w:t xml:space="preserve">6. Company secretary</w:t>
      </w:r>
    </w:p>
    <w:p>
      <w:pPr>
        <w:spacing w:after="120"/>
      </w:pPr>
      <w:r>
        <w:t xml:space="preserve">The company secretary is T. Nkosi, and the registered office of the company is 18 Kyalami Boulevard, Midrand, 1685.</w:t>
      </w:r>
    </w:p>
    <w:p>
      <w:pPr>
        <w:spacing w:after="40"/>
      </w:pPr>
      <w:r>
        <w:rPr>
          <w:b/>
          <w:sz w:val="20"/>
          <w:szCs w:val="20"/>
        </w:rPr>
        <w:t xml:space="preserve">7. Auditors</w:t>
      </w:r>
    </w:p>
    <w:p>
      <w:pPr>
        <w:spacing w:after="120"/>
      </w:pPr>
      <w:r>
        <w:t xml:space="preserve">The company's auditors are Delport &amp; Associates Incorporated, Registered Auditors.</w:t>
      </w:r>
    </w:p>
    <w:p>
      <w:pPr>
        <w:pStyle w:val="Heading1"/>
        <w:spacing w:after="120"/>
      </w:pPr>
      <w:r>
        <w:rPr>
          <w:b/>
          <w:sz w:val="26"/>
          <w:szCs w:val="26"/>
        </w:rPr>
        <w:t xml:space="preserve">Independent Auditor's Report</w:t>
      </w:r>
    </w:p>
    <w:p>
      <w:pPr>
        <w:spacing w:after="120"/>
      </w:pPr>
      <w:r>
        <w:t xml:space="preserve">To the shareholders of Meridian Trading Solutions (Pty) Ltd</w:t>
      </w:r>
    </w:p>
    <w:p>
      <w:pPr>
        <w:spacing w:after="120"/>
      </w:pPr>
      <w:r>
        <w:t xml:space="preserve">The independent auditors of the company are Delport &amp; Associates Incorporated, Registered Auditors. Their report on these annual financial statements is addressed to the shareholders and will be issued upon completion of the audit engagement.</w:t>
      </w:r>
    </w:p>
    <w:p>
      <w:pPr>
        <w:spacing w:after="120"/>
      </w:pPr>
      <w:r>
        <w:t xml:space="preserve">Pending receipt of the signed auditor's report, this page is reserved for the independent auditor's report expressing an opinion on whether the annual financial statements present fairly, in all material respects, the financial position of the company as at the reporting date and its financial performance and cash flows for the year then ended, in accordance with the applicable financial reporting framework and the requirements of the Companies Act of South Africa.</w:t>
      </w:r>
    </w:p>
    <w:p>
      <w:pPr>
        <w:pStyle w:val="Heading1"/>
        <w:spacing w:after="120"/>
      </w:pPr>
      <w:r>
        <w:rPr>
          <w:b/>
          <w:sz w:val="24"/>
          <w:szCs w:val="24"/>
        </w:rPr>
        <w:t xml:space="preserve">Statement of Financial Position</w:t>
      </w:r>
    </w:p>
    <w:p>
      <w:pPr>
        <w:spacing w:after="40"/>
      </w:pPr>
      <w:r>
        <w:rPr>
          <w:i/>
          <w:color w:val="595959"/>
        </w:rPr>
        <w:t xml:space="preserve">As at 31 March 2026</w:t>
      </w:r>
    </w:p>
    <w:p>
      <w:pPr>
        <w:spacing w:after="60"/>
      </w:pPr>
      <w:r>
        <w:rPr>
          <w:i/>
          <w:color w:val="595959"/>
          <w:sz w:val="16"/>
          <w:szCs w:val="16"/>
        </w:rPr>
        <w:t xml:space="preserve">Figures are stated in South African Rand</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4526"/>
        <w:gridCol w:w="1500"/>
        <w:gridCol w:w="1500"/>
        <w:gridCol w:w="1500"/>
      </w:tblGrid>
      <w:tr>
        <w:trPr>
          <w:tblHeader/>
        </w:trPr>
        <w:tc>
          <w:tcPr>
            <w:tcW w:w="4526" w:type="dxa"/>
            <w:shd w:val="clear" w:color="auto" w:fill="F2F2F2"/>
          </w:tcPr>
          <w:p>
            <w:pPr>
              <w:jc w:val="left"/>
              <w:spacing w:after="20"/>
            </w:pPr>
            <w:r>
              <w:rPr>
                <w:b/>
                <w:sz w:val="18"/>
                <w:szCs w:val="18"/>
              </w:rPr>
              <w:t xml:space="preserve"/>
            </w:r>
          </w:p>
        </w:tc>
        <w:tc>
          <w:tcPr>
            <w:tcW w:w="1500" w:type="dxa"/>
            <w:shd w:val="clear" w:color="auto" w:fill="F2F2F2"/>
          </w:tcPr>
          <w:p>
            <w:pPr>
              <w:jc w:val="left"/>
              <w:spacing w:after="20"/>
            </w:pPr>
            <w:r>
              <w:rPr>
                <w:b/>
                <w:sz w:val="18"/>
                <w:szCs w:val="18"/>
              </w:rPr>
              <w:t xml:space="preserve">Notes</w:t>
            </w:r>
          </w:p>
        </w:tc>
        <w:tc>
          <w:tcPr>
            <w:tcW w:w="1500" w:type="dxa"/>
            <w:shd w:val="clear" w:color="auto" w:fill="F2F2F2"/>
          </w:tcPr>
          <w:p>
            <w:pPr>
              <w:jc w:val="right"/>
              <w:spacing w:after="20"/>
            </w:pPr>
            <w:r>
              <w:rPr>
                <w:b/>
                <w:sz w:val="18"/>
                <w:szCs w:val="18"/>
              </w:rPr>
              <w:t xml:space="preserve">2025 R</w:t>
            </w:r>
          </w:p>
        </w:tc>
        <w:tc>
          <w:tcPr>
            <w:tcW w:w="1500" w:type="dxa"/>
            <w:shd w:val="clear" w:color="auto" w:fill="F2F2F2"/>
          </w:tcPr>
          <w:p>
            <w:pPr>
              <w:jc w:val="right"/>
              <w:spacing w:after="20"/>
            </w:pPr>
            <w:r>
              <w:rPr>
                <w:b/>
                <w:sz w:val="18"/>
                <w:szCs w:val="18"/>
              </w:rPr>
              <w:t xml:space="preserve">2026 R</w:t>
            </w:r>
          </w:p>
        </w:tc>
      </w:tr>
      <w:tr>
        <w:tc>
          <w:tcPr>
            <w:tcW w:w="4526" w:type="dxa"/>
          </w:tcPr>
          <w:p>
            <w:pPr>
              <w:jc w:val="left"/>
              <w:spacing w:after="20"/>
            </w:pPr>
            <w:r>
              <w:rPr>
                <w:b/>
                <w:sz w:val="18"/>
                <w:szCs w:val="18"/>
              </w:rPr>
              <w:t xml:space="preserve">Assets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4526" w:type="dxa"/>
          </w:tcPr>
          <w:p>
            <w:pPr>
              <w:jc w:val="left"/>
              <w:spacing w:after="20"/>
            </w:pPr>
            <w:r>
              <w:rPr>
                <w:sz w:val="18"/>
                <w:szCs w:val="18"/>
              </w:rPr>
              <w:t xml:space="preserve">Non-current assets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4526" w:type="dxa"/>
          </w:tcPr>
          <w:p>
            <w:pPr>
              <w:jc w:val="left"/>
              <w:spacing w:after="20"/>
            </w:pPr>
            <w:r>
              <w:rPr>
                <w:sz w:val="18"/>
                <w:szCs w:val="18"/>
              </w:rPr>
              <w:t xml:space="preserve">Property, plant and equipment</w:t>
            </w:r>
          </w:p>
        </w:tc>
        <w:tc>
          <w:tcPr>
            <w:tcW w:w="1500" w:type="dxa"/>
          </w:tcPr>
          <w:p>
            <w:pPr>
              <w:jc w:val="left"/>
              <w:spacing w:after="20"/>
            </w:pPr>
            <w:r>
              <w:rPr>
                <w:sz w:val="18"/>
                <w:szCs w:val="18"/>
              </w:rPr>
              <w:t xml:space="preserve">4</w:t>
            </w:r>
          </w:p>
        </w:tc>
        <w:tc>
          <w:tcPr>
            <w:tcW w:w="1500" w:type="dxa"/>
          </w:tcPr>
          <w:p>
            <w:pPr>
              <w:jc w:val="right"/>
              <w:spacing w:after="20"/>
            </w:pPr>
            <w:r>
              <w:rPr>
                <w:sz w:val="18"/>
                <w:szCs w:val="18"/>
              </w:rPr>
              <w:t xml:space="preserve">3,684,200.00</w:t>
            </w:r>
          </w:p>
        </w:tc>
        <w:tc>
          <w:tcPr>
            <w:tcW w:w="1500" w:type="dxa"/>
          </w:tcPr>
          <w:p>
            <w:pPr>
              <w:jc w:val="right"/>
              <w:spacing w:after="20"/>
            </w:pPr>
            <w:r>
              <w:rPr>
                <w:sz w:val="18"/>
                <w:szCs w:val="18"/>
              </w:rPr>
              <w:t xml:space="preserve">4,218,650.00</w:t>
            </w:r>
          </w:p>
        </w:tc>
      </w:tr>
      <w:tr>
        <w:tc>
          <w:tcPr>
            <w:tcW w:w="4526" w:type="dxa"/>
          </w:tcPr>
          <w:p>
            <w:pPr>
              <w:jc w:val="left"/>
              <w:spacing w:after="20"/>
            </w:pPr>
            <w:r>
              <w:rPr>
                <w:sz w:val="18"/>
                <w:szCs w:val="18"/>
              </w:rPr>
              <w:t xml:space="preserve">Intangible assets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298,100.00</w:t>
            </w:r>
          </w:p>
        </w:tc>
        <w:tc>
          <w:tcPr>
            <w:tcW w:w="1500" w:type="dxa"/>
          </w:tcPr>
          <w:p>
            <w:pPr>
              <w:jc w:val="right"/>
              <w:spacing w:after="20"/>
            </w:pPr>
            <w:r>
              <w:rPr>
                <w:sz w:val="18"/>
                <w:szCs w:val="18"/>
              </w:rPr>
              <w:t xml:space="preserve">312,400.00</w:t>
            </w:r>
          </w:p>
        </w:tc>
      </w:tr>
      <w:tr>
        <w:tc>
          <w:tcPr>
            <w:tcW w:w="4526" w:type="dxa"/>
          </w:tcPr>
          <w:p>
            <w:pPr>
              <w:jc w:val="left"/>
              <w:spacing w:after="20"/>
            </w:pPr>
            <w:r>
              <w:rPr>
                <w:sz w:val="18"/>
                <w:szCs w:val="18"/>
              </w:rPr>
              <w:t xml:space="preserve">Deferred tax</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152,800.00</w:t>
            </w:r>
          </w:p>
        </w:tc>
        <w:tc>
          <w:tcPr>
            <w:tcW w:w="1500" w:type="dxa"/>
          </w:tcPr>
          <w:p>
            <w:pPr>
              <w:jc w:val="right"/>
              <w:spacing w:after="20"/>
            </w:pPr>
            <w:r>
              <w:rPr>
                <w:sz w:val="18"/>
                <w:szCs w:val="18"/>
              </w:rPr>
              <w:t xml:space="preserve">186,300.00</w:t>
            </w:r>
          </w:p>
        </w:tc>
      </w:tr>
      <w:tr>
        <w:tc>
          <w:tcPr>
            <w:tcW w:w="4526" w:type="dxa"/>
          </w:tcPr>
          <w:p>
            <w:pPr>
              <w:jc w:val="left"/>
              <w:spacing w:after="20"/>
            </w:pPr>
            <w:r>
              <w:rPr>
                <w:b/>
                <w:sz w:val="18"/>
                <w:szCs w:val="18"/>
              </w:rPr>
              <w:t xml:space="preserve">Total non-current assets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4,135,100.00</w:t>
            </w:r>
          </w:p>
        </w:tc>
        <w:tc>
          <w:tcPr>
            <w:tcW w:w="1500" w:type="dxa"/>
          </w:tcPr>
          <w:p>
            <w:pPr>
              <w:jc w:val="right"/>
              <w:spacing w:after="20"/>
            </w:pPr>
            <w:r>
              <w:rPr>
                <w:b/>
                <w:sz w:val="18"/>
                <w:szCs w:val="18"/>
              </w:rPr>
              <w:t xml:space="preserve">4,717,350.00</w:t>
            </w:r>
          </w:p>
        </w:tc>
      </w:tr>
      <w:tr>
        <w:tc>
          <w:tcPr>
            <w:tcW w:w="4526" w:type="dxa"/>
          </w:tcPr>
          <w:p>
            <w:pPr>
              <w:jc w:val="left"/>
              <w:spacing w:after="20"/>
            </w:pPr>
            <w:r>
              <w:rPr>
                <w:sz w:val="18"/>
                <w:szCs w:val="18"/>
              </w:rPr>
              <w:t xml:space="preserve">Current assets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4526" w:type="dxa"/>
          </w:tcPr>
          <w:p>
            <w:pPr>
              <w:jc w:val="left"/>
              <w:spacing w:after="20"/>
            </w:pPr>
            <w:r>
              <w:rPr>
                <w:sz w:val="18"/>
                <w:szCs w:val="18"/>
              </w:rPr>
              <w:t xml:space="preserve">Inventories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2,510,800.00</w:t>
            </w:r>
          </w:p>
        </w:tc>
        <w:tc>
          <w:tcPr>
            <w:tcW w:w="1500" w:type="dxa"/>
          </w:tcPr>
          <w:p>
            <w:pPr>
              <w:jc w:val="right"/>
              <w:spacing w:after="20"/>
            </w:pPr>
            <w:r>
              <w:rPr>
                <w:sz w:val="18"/>
                <w:szCs w:val="18"/>
              </w:rPr>
              <w:t xml:space="preserve">2,864,100.00</w:t>
            </w:r>
          </w:p>
        </w:tc>
      </w:tr>
      <w:tr>
        <w:tc>
          <w:tcPr>
            <w:tcW w:w="4526" w:type="dxa"/>
          </w:tcPr>
          <w:p>
            <w:pPr>
              <w:jc w:val="left"/>
              <w:spacing w:after="20"/>
            </w:pPr>
            <w:r>
              <w:rPr>
                <w:sz w:val="18"/>
                <w:szCs w:val="18"/>
              </w:rPr>
              <w:t xml:space="preserve">Trade and other receivables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2,789,300.00</w:t>
            </w:r>
          </w:p>
        </w:tc>
        <w:tc>
          <w:tcPr>
            <w:tcW w:w="1500" w:type="dxa"/>
          </w:tcPr>
          <w:p>
            <w:pPr>
              <w:jc w:val="right"/>
              <w:spacing w:after="20"/>
            </w:pPr>
            <w:r>
              <w:rPr>
                <w:sz w:val="18"/>
                <w:szCs w:val="18"/>
              </w:rPr>
              <w:t xml:space="preserve">3,120,540.00</w:t>
            </w:r>
          </w:p>
        </w:tc>
      </w:tr>
      <w:tr>
        <w:tc>
          <w:tcPr>
            <w:tcW w:w="4526" w:type="dxa"/>
          </w:tcPr>
          <w:p>
            <w:pPr>
              <w:jc w:val="left"/>
              <w:spacing w:after="20"/>
            </w:pPr>
            <w:r>
              <w:rPr>
                <w:sz w:val="18"/>
                <w:szCs w:val="18"/>
              </w:rPr>
              <w:t xml:space="preserve">Cash and cash equivalents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1,119,520.00</w:t>
            </w:r>
          </w:p>
        </w:tc>
        <w:tc>
          <w:tcPr>
            <w:tcW w:w="1500" w:type="dxa"/>
          </w:tcPr>
          <w:p>
            <w:pPr>
              <w:jc w:val="right"/>
              <w:spacing w:after="20"/>
            </w:pPr>
            <w:r>
              <w:rPr>
                <w:sz w:val="18"/>
                <w:szCs w:val="18"/>
              </w:rPr>
              <w:t xml:space="preserve">1,458,920.00</w:t>
            </w:r>
          </w:p>
        </w:tc>
      </w:tr>
      <w:tr>
        <w:tc>
          <w:tcPr>
            <w:tcW w:w="4526" w:type="dxa"/>
          </w:tcPr>
          <w:p>
            <w:pPr>
              <w:jc w:val="left"/>
              <w:spacing w:after="20"/>
            </w:pPr>
            <w:r>
              <w:rPr>
                <w:b/>
                <w:sz w:val="18"/>
                <w:szCs w:val="18"/>
              </w:rPr>
              <w:t xml:space="preserve">Total current assets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6,419,620.00</w:t>
            </w:r>
          </w:p>
        </w:tc>
        <w:tc>
          <w:tcPr>
            <w:tcW w:w="1500" w:type="dxa"/>
          </w:tcPr>
          <w:p>
            <w:pPr>
              <w:jc w:val="right"/>
              <w:spacing w:after="20"/>
            </w:pPr>
            <w:r>
              <w:rPr>
                <w:b/>
                <w:sz w:val="18"/>
                <w:szCs w:val="18"/>
              </w:rPr>
              <w:t xml:space="preserve">7,443,560.00</w:t>
            </w:r>
          </w:p>
        </w:tc>
      </w:tr>
      <w:tr>
        <w:tc>
          <w:tcPr>
            <w:tcW w:w="4526" w:type="dxa"/>
          </w:tcPr>
          <w:p>
            <w:pPr>
              <w:jc w:val="left"/>
              <w:spacing w:after="20"/>
            </w:pPr>
            <w:r>
              <w:rPr>
                <w:b/>
                <w:sz w:val="18"/>
                <w:szCs w:val="18"/>
              </w:rPr>
              <w:t xml:space="preserve">Total assets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10,554,720.00</w:t>
            </w:r>
          </w:p>
        </w:tc>
        <w:tc>
          <w:tcPr>
            <w:tcW w:w="1500" w:type="dxa"/>
          </w:tcPr>
          <w:p>
            <w:pPr>
              <w:jc w:val="right"/>
              <w:spacing w:after="20"/>
            </w:pPr>
            <w:r>
              <w:rPr>
                <w:b/>
                <w:sz w:val="18"/>
                <w:szCs w:val="18"/>
              </w:rPr>
              <w:t xml:space="preserve">12,160,910.00</w:t>
            </w:r>
          </w:p>
        </w:tc>
      </w:tr>
      <w:tr>
        <w:tc>
          <w:tcPr>
            <w:tcW w:w="4526" w:type="dxa"/>
          </w:tcPr>
          <w:p>
            <w:pPr>
              <w:jc w:val="left"/>
              <w:spacing w:after="20"/>
            </w:pPr>
            <w:r>
              <w:rPr>
                <w:b/>
                <w:sz w:val="18"/>
                <w:szCs w:val="18"/>
              </w:rPr>
              <w:t xml:space="preserve">Equity and liabilities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
            </w:r>
          </w:p>
        </w:tc>
      </w:tr>
      <w:tr>
        <w:tc>
          <w:tcPr>
            <w:tcW w:w="4526" w:type="dxa"/>
          </w:tcPr>
          <w:p>
            <w:pPr>
              <w:jc w:val="left"/>
              <w:spacing w:after="20"/>
            </w:pPr>
            <w:r>
              <w:rPr>
                <w:sz w:val="18"/>
                <w:szCs w:val="18"/>
              </w:rPr>
              <w:t xml:space="preserve">Equity</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4526" w:type="dxa"/>
          </w:tcPr>
          <w:p>
            <w:pPr>
              <w:jc w:val="left"/>
              <w:spacing w:after="20"/>
            </w:pPr>
            <w:r>
              <w:rPr>
                <w:sz w:val="18"/>
                <w:szCs w:val="18"/>
              </w:rPr>
              <w:t xml:space="preserve">Share capital</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100,000.00</w:t>
            </w:r>
          </w:p>
        </w:tc>
        <w:tc>
          <w:tcPr>
            <w:tcW w:w="1500" w:type="dxa"/>
          </w:tcPr>
          <w:p>
            <w:pPr>
              <w:jc w:val="right"/>
              <w:spacing w:after="20"/>
            </w:pPr>
            <w:r>
              <w:rPr>
                <w:sz w:val="18"/>
                <w:szCs w:val="18"/>
              </w:rPr>
              <w:t xml:space="preserve">100,000.00</w:t>
            </w:r>
          </w:p>
        </w:tc>
      </w:tr>
      <w:tr>
        <w:tc>
          <w:tcPr>
            <w:tcW w:w="4526" w:type="dxa"/>
          </w:tcPr>
          <w:p>
            <w:pPr>
              <w:jc w:val="left"/>
              <w:spacing w:after="20"/>
            </w:pPr>
            <w:r>
              <w:rPr>
                <w:sz w:val="18"/>
                <w:szCs w:val="18"/>
              </w:rPr>
              <w:t xml:space="preserve">Retained earnings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5,180,705.00</w:t>
            </w:r>
          </w:p>
        </w:tc>
        <w:tc>
          <w:tcPr>
            <w:tcW w:w="1500" w:type="dxa"/>
          </w:tcPr>
          <w:p>
            <w:pPr>
              <w:jc w:val="right"/>
              <w:spacing w:after="20"/>
            </w:pPr>
            <w:r>
              <w:rPr>
                <w:sz w:val="18"/>
                <w:szCs w:val="18"/>
              </w:rPr>
              <w:t xml:space="preserve">6,842,910.00</w:t>
            </w:r>
          </w:p>
        </w:tc>
      </w:tr>
      <w:tr>
        <w:tc>
          <w:tcPr>
            <w:tcW w:w="4526" w:type="dxa"/>
          </w:tcPr>
          <w:p>
            <w:pPr>
              <w:jc w:val="left"/>
              <w:spacing w:after="20"/>
            </w:pPr>
            <w:r>
              <w:rPr>
                <w:b/>
                <w:sz w:val="18"/>
                <w:szCs w:val="18"/>
              </w:rPr>
              <w:t xml:space="preserve">Total equity</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5,280,705.00</w:t>
            </w:r>
          </w:p>
        </w:tc>
        <w:tc>
          <w:tcPr>
            <w:tcW w:w="1500" w:type="dxa"/>
          </w:tcPr>
          <w:p>
            <w:pPr>
              <w:jc w:val="right"/>
              <w:spacing w:after="20"/>
            </w:pPr>
            <w:r>
              <w:rPr>
                <w:b/>
                <w:sz w:val="18"/>
                <w:szCs w:val="18"/>
              </w:rPr>
              <w:t xml:space="preserve">6,942,910.00</w:t>
            </w:r>
          </w:p>
        </w:tc>
      </w:tr>
      <w:tr>
        <w:tc>
          <w:tcPr>
            <w:tcW w:w="4526" w:type="dxa"/>
          </w:tcPr>
          <w:p>
            <w:pPr>
              <w:jc w:val="left"/>
              <w:spacing w:after="20"/>
            </w:pPr>
            <w:r>
              <w:rPr>
                <w:sz w:val="18"/>
                <w:szCs w:val="18"/>
              </w:rPr>
              <w:t xml:space="preserve">Non-current liabilities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4526" w:type="dxa"/>
          </w:tcPr>
          <w:p>
            <w:pPr>
              <w:jc w:val="left"/>
              <w:spacing w:after="20"/>
            </w:pPr>
            <w:r>
              <w:rPr>
                <w:sz w:val="18"/>
                <w:szCs w:val="18"/>
              </w:rPr>
              <w:t xml:space="preserve">Borrowings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1,980,000.00</w:t>
            </w:r>
          </w:p>
        </w:tc>
        <w:tc>
          <w:tcPr>
            <w:tcW w:w="1500" w:type="dxa"/>
          </w:tcPr>
          <w:p>
            <w:pPr>
              <w:jc w:val="right"/>
              <w:spacing w:after="20"/>
            </w:pPr>
            <w:r>
              <w:rPr>
                <w:sz w:val="18"/>
                <w:szCs w:val="18"/>
              </w:rPr>
              <w:t xml:space="preserve">1,650,000.00</w:t>
            </w:r>
          </w:p>
        </w:tc>
      </w:tr>
      <w:tr>
        <w:tc>
          <w:tcPr>
            <w:tcW w:w="4526" w:type="dxa"/>
          </w:tcPr>
          <w:p>
            <w:pPr>
              <w:jc w:val="left"/>
              <w:spacing w:after="20"/>
            </w:pPr>
            <w:r>
              <w:rPr>
                <w:b/>
                <w:sz w:val="18"/>
                <w:szCs w:val="18"/>
              </w:rPr>
              <w:t xml:space="preserve">Total non-current liabilities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1,980,000.00</w:t>
            </w:r>
          </w:p>
        </w:tc>
        <w:tc>
          <w:tcPr>
            <w:tcW w:w="1500" w:type="dxa"/>
          </w:tcPr>
          <w:p>
            <w:pPr>
              <w:jc w:val="right"/>
              <w:spacing w:after="20"/>
            </w:pPr>
            <w:r>
              <w:rPr>
                <w:b/>
                <w:sz w:val="18"/>
                <w:szCs w:val="18"/>
              </w:rPr>
              <w:t xml:space="preserve">1,650,000.00</w:t>
            </w:r>
          </w:p>
        </w:tc>
      </w:tr>
      <w:tr>
        <w:tc>
          <w:tcPr>
            <w:tcW w:w="4526" w:type="dxa"/>
          </w:tcPr>
          <w:p>
            <w:pPr>
              <w:jc w:val="left"/>
              <w:spacing w:after="20"/>
            </w:pPr>
            <w:r>
              <w:rPr>
                <w:sz w:val="18"/>
                <w:szCs w:val="18"/>
              </w:rPr>
              <w:t xml:space="preserve">Current liabilities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4526" w:type="dxa"/>
          </w:tcPr>
          <w:p>
            <w:pPr>
              <w:jc w:val="left"/>
              <w:spacing w:after="20"/>
            </w:pPr>
            <w:r>
              <w:rPr>
                <w:sz w:val="18"/>
                <w:szCs w:val="18"/>
              </w:rPr>
              <w:t xml:space="preserve">Trade and other payables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2,642,015.00</w:t>
            </w:r>
          </w:p>
        </w:tc>
        <w:tc>
          <w:tcPr>
            <w:tcW w:w="1500" w:type="dxa"/>
          </w:tcPr>
          <w:p>
            <w:pPr>
              <w:jc w:val="right"/>
              <w:spacing w:after="20"/>
            </w:pPr>
            <w:r>
              <w:rPr>
                <w:sz w:val="18"/>
                <w:szCs w:val="18"/>
              </w:rPr>
              <w:t xml:space="preserve">2,918,000.00</w:t>
            </w:r>
          </w:p>
        </w:tc>
      </w:tr>
      <w:tr>
        <w:tc>
          <w:tcPr>
            <w:tcW w:w="4526" w:type="dxa"/>
          </w:tcPr>
          <w:p>
            <w:pPr>
              <w:jc w:val="left"/>
              <w:spacing w:after="20"/>
            </w:pPr>
            <w:r>
              <w:rPr>
                <w:sz w:val="18"/>
                <w:szCs w:val="18"/>
              </w:rPr>
              <w:t xml:space="preserve">Current portion of borrowings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520,000.00</w:t>
            </w:r>
          </w:p>
        </w:tc>
        <w:tc>
          <w:tcPr>
            <w:tcW w:w="1500" w:type="dxa"/>
          </w:tcPr>
          <w:p>
            <w:pPr>
              <w:jc w:val="right"/>
              <w:spacing w:after="20"/>
            </w:pPr>
            <w:r>
              <w:rPr>
                <w:sz w:val="18"/>
                <w:szCs w:val="18"/>
              </w:rPr>
              <w:t xml:space="preserve">550,000.00</w:t>
            </w:r>
          </w:p>
        </w:tc>
      </w:tr>
      <w:tr>
        <w:tc>
          <w:tcPr>
            <w:tcW w:w="4526" w:type="dxa"/>
          </w:tcPr>
          <w:p>
            <w:pPr>
              <w:jc w:val="left"/>
              <w:spacing w:after="20"/>
            </w:pPr>
            <w:r>
              <w:rPr>
                <w:sz w:val="18"/>
                <w:szCs w:val="18"/>
              </w:rPr>
              <w:t xml:space="preserve">Current tax payable</w:t>
            </w:r>
          </w:p>
        </w:tc>
        <w:tc>
          <w:tcPr>
            <w:tcW w:w="1500" w:type="dxa"/>
          </w:tcPr>
          <w:p>
            <w:pPr>
              <w:jc w:val="left"/>
              <w:spacing w:after="20"/>
            </w:pPr>
            <w:r>
              <w:rPr>
                <w:sz w:val="18"/>
                <w:szCs w:val="18"/>
              </w:rPr>
              <w:t xml:space="preserve">9</w:t>
            </w:r>
          </w:p>
        </w:tc>
        <w:tc>
          <w:tcPr>
            <w:tcW w:w="1500" w:type="dxa"/>
          </w:tcPr>
          <w:p>
            <w:pPr>
              <w:jc w:val="right"/>
              <w:spacing w:after="20"/>
            </w:pPr>
            <w:r>
              <w:rPr>
                <w:sz w:val="18"/>
                <w:szCs w:val="18"/>
              </w:rPr>
              <w:t xml:space="preserve">132,000.00</w:t>
            </w:r>
          </w:p>
        </w:tc>
        <w:tc>
          <w:tcPr>
            <w:tcW w:w="1500" w:type="dxa"/>
          </w:tcPr>
          <w:p>
            <w:pPr>
              <w:jc w:val="right"/>
              <w:spacing w:after="20"/>
            </w:pPr>
            <w:r>
              <w:rPr>
                <w:sz w:val="18"/>
                <w:szCs w:val="18"/>
              </w:rPr>
              <w:t xml:space="preserve">100,000.00</w:t>
            </w:r>
          </w:p>
        </w:tc>
      </w:tr>
      <w:tr>
        <w:tc>
          <w:tcPr>
            <w:tcW w:w="4526" w:type="dxa"/>
          </w:tcPr>
          <w:p>
            <w:pPr>
              <w:jc w:val="left"/>
              <w:spacing w:after="20"/>
            </w:pPr>
            <w:r>
              <w:rPr>
                <w:b/>
                <w:sz w:val="18"/>
                <w:szCs w:val="18"/>
              </w:rPr>
              <w:t xml:space="preserve">Total current liabilities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3,294,015.00</w:t>
            </w:r>
          </w:p>
        </w:tc>
        <w:tc>
          <w:tcPr>
            <w:tcW w:w="1500" w:type="dxa"/>
          </w:tcPr>
          <w:p>
            <w:pPr>
              <w:jc w:val="right"/>
              <w:spacing w:after="20"/>
            </w:pPr>
            <w:r>
              <w:rPr>
                <w:b/>
                <w:sz w:val="18"/>
                <w:szCs w:val="18"/>
              </w:rPr>
              <w:t xml:space="preserve">3,568,000.00</w:t>
            </w:r>
          </w:p>
        </w:tc>
      </w:tr>
      <w:tr>
        <w:tc>
          <w:tcPr>
            <w:tcW w:w="4526" w:type="dxa"/>
          </w:tcPr>
          <w:p>
            <w:pPr>
              <w:jc w:val="left"/>
              <w:spacing w:after="20"/>
            </w:pPr>
            <w:r>
              <w:rPr>
                <w:b/>
                <w:sz w:val="18"/>
                <w:szCs w:val="18"/>
              </w:rPr>
              <w:t xml:space="preserve">Total equity and liabilities</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10,554,720.00</w:t>
            </w:r>
          </w:p>
        </w:tc>
        <w:tc>
          <w:tcPr>
            <w:tcW w:w="1500" w:type="dxa"/>
          </w:tcPr>
          <w:p>
            <w:pPr>
              <w:jc w:val="right"/>
              <w:spacing w:after="20"/>
            </w:pPr>
            <w:r>
              <w:rPr>
                <w:b/>
                <w:sz w:val="18"/>
                <w:szCs w:val="18"/>
              </w:rPr>
              <w:t xml:space="preserve">12,160,910.00</w:t>
            </w:r>
          </w:p>
        </w:tc>
      </w:tr>
    </w:tbl>
    <w:p>
      <w:pPr>
        <w:spacing w:after="60"/>
      </w:pPr>
      <w:r>
        <w:t xml:space="preserve"/>
      </w:r>
    </w:p>
    <w:p>
      <w:pPr>
        <w:pStyle w:val="Heading1"/>
        <w:spacing w:after="120"/>
      </w:pPr>
      <w:r>
        <w:rPr>
          <w:b/>
          <w:sz w:val="24"/>
          <w:szCs w:val="24"/>
        </w:rPr>
        <w:t xml:space="preserve">Statement of Profit or Loss and Other Comprehensive Income</w:t>
      </w:r>
    </w:p>
    <w:p>
      <w:pPr>
        <w:spacing w:after="40"/>
      </w:pPr>
      <w:r>
        <w:rPr>
          <w:i/>
          <w:color w:val="595959"/>
        </w:rPr>
        <w:t xml:space="preserve">For the year ended 31 March 2026</w:t>
      </w:r>
    </w:p>
    <w:p>
      <w:pPr>
        <w:spacing w:after="60"/>
      </w:pPr>
      <w:r>
        <w:rPr>
          <w:i/>
          <w:color w:val="595959"/>
          <w:sz w:val="16"/>
          <w:szCs w:val="16"/>
        </w:rPr>
        <w:t xml:space="preserve">Figures are stated in South African Rand</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4526"/>
        <w:gridCol w:w="1500"/>
        <w:gridCol w:w="1500"/>
        <w:gridCol w:w="1500"/>
      </w:tblGrid>
      <w:tr>
        <w:trPr>
          <w:tblHeader/>
        </w:trPr>
        <w:tc>
          <w:tcPr>
            <w:tcW w:w="4526" w:type="dxa"/>
            <w:shd w:val="clear" w:color="auto" w:fill="F2F2F2"/>
          </w:tcPr>
          <w:p>
            <w:pPr>
              <w:jc w:val="left"/>
              <w:spacing w:after="20"/>
            </w:pPr>
            <w:r>
              <w:rPr>
                <w:b/>
                <w:sz w:val="18"/>
                <w:szCs w:val="18"/>
              </w:rPr>
              <w:t xml:space="preserve"/>
            </w:r>
          </w:p>
        </w:tc>
        <w:tc>
          <w:tcPr>
            <w:tcW w:w="1500" w:type="dxa"/>
            <w:shd w:val="clear" w:color="auto" w:fill="F2F2F2"/>
          </w:tcPr>
          <w:p>
            <w:pPr>
              <w:jc w:val="left"/>
              <w:spacing w:after="20"/>
            </w:pPr>
            <w:r>
              <w:rPr>
                <w:b/>
                <w:sz w:val="18"/>
                <w:szCs w:val="18"/>
              </w:rPr>
              <w:t xml:space="preserve">Notes</w:t>
            </w:r>
          </w:p>
        </w:tc>
        <w:tc>
          <w:tcPr>
            <w:tcW w:w="1500" w:type="dxa"/>
            <w:shd w:val="clear" w:color="auto" w:fill="F2F2F2"/>
          </w:tcPr>
          <w:p>
            <w:pPr>
              <w:jc w:val="right"/>
              <w:spacing w:after="20"/>
            </w:pPr>
            <w:r>
              <w:rPr>
                <w:b/>
                <w:sz w:val="18"/>
                <w:szCs w:val="18"/>
              </w:rPr>
              <w:t xml:space="preserve">2025 R</w:t>
            </w:r>
          </w:p>
        </w:tc>
        <w:tc>
          <w:tcPr>
            <w:tcW w:w="1500" w:type="dxa"/>
            <w:shd w:val="clear" w:color="auto" w:fill="F2F2F2"/>
          </w:tcPr>
          <w:p>
            <w:pPr>
              <w:jc w:val="right"/>
              <w:spacing w:after="20"/>
            </w:pPr>
            <w:r>
              <w:rPr>
                <w:b/>
                <w:sz w:val="18"/>
                <w:szCs w:val="18"/>
              </w:rPr>
              <w:t xml:space="preserve">2026 R</w:t>
            </w:r>
          </w:p>
        </w:tc>
      </w:tr>
      <w:tr>
        <w:tc>
          <w:tcPr>
            <w:tcW w:w="4526" w:type="dxa"/>
          </w:tcPr>
          <w:p>
            <w:pPr>
              <w:jc w:val="left"/>
              <w:spacing w:after="20"/>
            </w:pPr>
            <w:r>
              <w:rPr>
                <w:sz w:val="18"/>
                <w:szCs w:val="18"/>
              </w:rPr>
              <w:t xml:space="preserve">Revenue</w:t>
            </w:r>
          </w:p>
        </w:tc>
        <w:tc>
          <w:tcPr>
            <w:tcW w:w="1500" w:type="dxa"/>
          </w:tcPr>
          <w:p>
            <w:pPr>
              <w:jc w:val="left"/>
              <w:spacing w:after="20"/>
            </w:pPr>
            <w:r>
              <w:rPr>
                <w:sz w:val="18"/>
                <w:szCs w:val="18"/>
              </w:rPr>
              <w:t xml:space="preserve">3</w:t>
            </w:r>
          </w:p>
        </w:tc>
        <w:tc>
          <w:tcPr>
            <w:tcW w:w="1500" w:type="dxa"/>
          </w:tcPr>
          <w:p>
            <w:pPr>
              <w:jc w:val="right"/>
              <w:spacing w:after="20"/>
            </w:pPr>
            <w:r>
              <w:rPr>
                <w:sz w:val="18"/>
                <w:szCs w:val="18"/>
              </w:rPr>
              <w:t xml:space="preserve">25,128,400.00</w:t>
            </w:r>
          </w:p>
        </w:tc>
        <w:tc>
          <w:tcPr>
            <w:tcW w:w="1500" w:type="dxa"/>
          </w:tcPr>
          <w:p>
            <w:pPr>
              <w:jc w:val="right"/>
              <w:spacing w:after="20"/>
            </w:pPr>
            <w:r>
              <w:rPr>
                <w:sz w:val="18"/>
                <w:szCs w:val="18"/>
              </w:rPr>
              <w:t xml:space="preserve">28,450,300.00</w:t>
            </w:r>
          </w:p>
        </w:tc>
      </w:tr>
      <w:tr>
        <w:tc>
          <w:tcPr>
            <w:tcW w:w="4526" w:type="dxa"/>
          </w:tcPr>
          <w:p>
            <w:pPr>
              <w:jc w:val="left"/>
              <w:spacing w:after="20"/>
            </w:pPr>
            <w:r>
              <w:rPr>
                <w:sz w:val="18"/>
                <w:szCs w:val="18"/>
              </w:rPr>
              <w:t xml:space="preserve">Cost of sales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(16,981,200.00)</w:t>
            </w:r>
          </w:p>
        </w:tc>
        <w:tc>
          <w:tcPr>
            <w:tcW w:w="1500" w:type="dxa"/>
          </w:tcPr>
          <w:p>
            <w:pPr>
              <w:jc w:val="right"/>
              <w:spacing w:after="20"/>
            </w:pPr>
            <w:r>
              <w:rPr>
                <w:sz w:val="18"/>
                <w:szCs w:val="18"/>
              </w:rPr>
              <w:t xml:space="preserve">(19,122,400.00)</w:t>
            </w:r>
          </w:p>
        </w:tc>
      </w:tr>
      <w:tr>
        <w:tc>
          <w:tcPr>
            <w:tcW w:w="4526" w:type="dxa"/>
          </w:tcPr>
          <w:p>
            <w:pPr>
              <w:jc w:val="left"/>
              <w:spacing w:after="20"/>
            </w:pPr>
            <w:r>
              <w:rPr>
                <w:b/>
                <w:sz w:val="18"/>
                <w:szCs w:val="18"/>
              </w:rPr>
              <w:t xml:space="preserve">Gross profit</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8,147,200.00</w:t>
            </w:r>
          </w:p>
        </w:tc>
        <w:tc>
          <w:tcPr>
            <w:tcW w:w="1500" w:type="dxa"/>
          </w:tcPr>
          <w:p>
            <w:pPr>
              <w:jc w:val="right"/>
              <w:spacing w:after="20"/>
            </w:pPr>
            <w:r>
              <w:rPr>
                <w:b/>
                <w:sz w:val="18"/>
                <w:szCs w:val="18"/>
              </w:rPr>
              <w:t xml:space="preserve">9,327,900.00</w:t>
            </w:r>
          </w:p>
        </w:tc>
      </w:tr>
      <w:tr>
        <w:tc>
          <w:tcPr>
            <w:tcW w:w="4526" w:type="dxa"/>
          </w:tcPr>
          <w:p>
            <w:pPr>
              <w:jc w:val="left"/>
              <w:spacing w:after="20"/>
            </w:pPr>
            <w:r>
              <w:rPr>
                <w:sz w:val="18"/>
                <w:szCs w:val="18"/>
              </w:rPr>
              <w:t xml:space="preserve">Other income</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186,300.00</w:t>
            </w:r>
          </w:p>
        </w:tc>
        <w:tc>
          <w:tcPr>
            <w:tcW w:w="1500" w:type="dxa"/>
          </w:tcPr>
          <w:p>
            <w:pPr>
              <w:jc w:val="right"/>
              <w:spacing w:after="20"/>
            </w:pPr>
            <w:r>
              <w:rPr>
                <w:sz w:val="18"/>
                <w:szCs w:val="18"/>
              </w:rPr>
              <w:t xml:space="preserve">214,600.00</w:t>
            </w:r>
          </w:p>
        </w:tc>
      </w:tr>
      <w:tr>
        <w:tc>
          <w:tcPr>
            <w:tcW w:w="4526" w:type="dxa"/>
          </w:tcPr>
          <w:p>
            <w:pPr>
              <w:jc w:val="left"/>
              <w:spacing w:after="20"/>
            </w:pPr>
            <w:r>
              <w:rPr>
                <w:sz w:val="18"/>
                <w:szCs w:val="18"/>
              </w:rPr>
              <w:t xml:space="preserve">Operating expenses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(6,128,400.00)</w:t>
            </w:r>
          </w:p>
        </w:tc>
        <w:tc>
          <w:tcPr>
            <w:tcW w:w="1500" w:type="dxa"/>
          </w:tcPr>
          <w:p>
            <w:pPr>
              <w:jc w:val="right"/>
              <w:spacing w:after="20"/>
            </w:pPr>
            <w:r>
              <w:rPr>
                <w:sz w:val="18"/>
                <w:szCs w:val="18"/>
              </w:rPr>
              <w:t xml:space="preserve">(6,890,120.00)</w:t>
            </w:r>
          </w:p>
        </w:tc>
      </w:tr>
      <w:tr>
        <w:tc>
          <w:tcPr>
            <w:tcW w:w="4526" w:type="dxa"/>
          </w:tcPr>
          <w:p>
            <w:pPr>
              <w:jc w:val="left"/>
              <w:spacing w:after="20"/>
            </w:pPr>
            <w:r>
              <w:rPr>
                <w:b/>
                <w:sz w:val="18"/>
                <w:szCs w:val="18"/>
              </w:rPr>
              <w:t xml:space="preserve">Operating profit</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2,205,100.00</w:t>
            </w:r>
          </w:p>
        </w:tc>
        <w:tc>
          <w:tcPr>
            <w:tcW w:w="1500" w:type="dxa"/>
          </w:tcPr>
          <w:p>
            <w:pPr>
              <w:jc w:val="right"/>
              <w:spacing w:after="20"/>
            </w:pPr>
            <w:r>
              <w:rPr>
                <w:b/>
                <w:sz w:val="18"/>
                <w:szCs w:val="18"/>
              </w:rPr>
              <w:t xml:space="preserve">2,652,380.00</w:t>
            </w:r>
          </w:p>
        </w:tc>
      </w:tr>
      <w:tr>
        <w:tc>
          <w:tcPr>
            <w:tcW w:w="4526" w:type="dxa"/>
          </w:tcPr>
          <w:p>
            <w:pPr>
              <w:jc w:val="left"/>
              <w:spacing w:after="20"/>
            </w:pPr>
            <w:r>
              <w:rPr>
                <w:sz w:val="18"/>
                <w:szCs w:val="18"/>
              </w:rPr>
              <w:t xml:space="preserve">Finance costs</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(265,100.00)</w:t>
            </w:r>
          </w:p>
        </w:tc>
        <w:tc>
          <w:tcPr>
            <w:tcW w:w="1500" w:type="dxa"/>
          </w:tcPr>
          <w:p>
            <w:pPr>
              <w:jc w:val="right"/>
              <w:spacing w:after="20"/>
            </w:pPr>
            <w:r>
              <w:rPr>
                <w:sz w:val="18"/>
                <w:szCs w:val="18"/>
              </w:rPr>
              <w:t xml:space="preserve">(238,400.00)</w:t>
            </w:r>
          </w:p>
        </w:tc>
      </w:tr>
      <w:tr>
        <w:tc>
          <w:tcPr>
            <w:tcW w:w="4526" w:type="dxa"/>
          </w:tcPr>
          <w:p>
            <w:pPr>
              <w:jc w:val="left"/>
              <w:spacing w:after="20"/>
            </w:pPr>
            <w:r>
              <w:rPr>
                <w:b/>
                <w:sz w:val="18"/>
                <w:szCs w:val="18"/>
              </w:rPr>
              <w:t xml:space="preserve">Profit before taxation</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1,940,000.00</w:t>
            </w:r>
          </w:p>
        </w:tc>
        <w:tc>
          <w:tcPr>
            <w:tcW w:w="1500" w:type="dxa"/>
          </w:tcPr>
          <w:p>
            <w:pPr>
              <w:jc w:val="right"/>
              <w:spacing w:after="20"/>
            </w:pPr>
            <w:r>
              <w:rPr>
                <w:b/>
                <w:sz w:val="18"/>
                <w:szCs w:val="18"/>
              </w:rPr>
              <w:t xml:space="preserve">2,413,980.00</w:t>
            </w:r>
          </w:p>
        </w:tc>
      </w:tr>
      <w:tr>
        <w:tc>
          <w:tcPr>
            <w:tcW w:w="4526" w:type="dxa"/>
          </w:tcPr>
          <w:p>
            <w:pPr>
              <w:jc w:val="left"/>
              <w:spacing w:after="20"/>
            </w:pPr>
            <w:r>
              <w:rPr>
                <w:sz w:val="18"/>
                <w:szCs w:val="18"/>
              </w:rPr>
              <w:t xml:space="preserve">Taxation</w:t>
            </w:r>
          </w:p>
        </w:tc>
        <w:tc>
          <w:tcPr>
            <w:tcW w:w="1500" w:type="dxa"/>
          </w:tcPr>
          <w:p>
            <w:pPr>
              <w:jc w:val="left"/>
              <w:spacing w:after="20"/>
            </w:pPr>
            <w:r>
              <w:rPr>
                <w:sz w:val="18"/>
                <w:szCs w:val="18"/>
              </w:rPr>
              <w:t xml:space="preserve">9</w:t>
            </w:r>
          </w:p>
        </w:tc>
        <w:tc>
          <w:tcPr>
            <w:tcW w:w="1500" w:type="dxa"/>
          </w:tcPr>
          <w:p>
            <w:pPr>
              <w:jc w:val="right"/>
              <w:spacing w:after="20"/>
            </w:pPr>
            <w:r>
              <w:rPr>
                <w:sz w:val="18"/>
                <w:szCs w:val="18"/>
              </w:rPr>
              <w:t xml:space="preserve">(523,800.00)</w:t>
            </w:r>
          </w:p>
        </w:tc>
        <w:tc>
          <w:tcPr>
            <w:tcW w:w="1500" w:type="dxa"/>
          </w:tcPr>
          <w:p>
            <w:pPr>
              <w:jc w:val="right"/>
              <w:spacing w:after="20"/>
            </w:pPr>
            <w:r>
              <w:rPr>
                <w:sz w:val="18"/>
                <w:szCs w:val="18"/>
              </w:rPr>
              <w:t xml:space="preserve">(651,775.00)</w:t>
            </w:r>
          </w:p>
        </w:tc>
      </w:tr>
      <w:tr>
        <w:tc>
          <w:tcPr>
            <w:tcW w:w="4526" w:type="dxa"/>
          </w:tcPr>
          <w:p>
            <w:pPr>
              <w:jc w:val="left"/>
              <w:spacing w:after="20"/>
            </w:pPr>
            <w:r>
              <w:rPr>
                <w:b/>
                <w:sz w:val="18"/>
                <w:szCs w:val="18"/>
              </w:rPr>
              <w:t xml:space="preserve">Profit for the year</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1,416,200.00</w:t>
            </w:r>
          </w:p>
        </w:tc>
        <w:tc>
          <w:tcPr>
            <w:tcW w:w="1500" w:type="dxa"/>
          </w:tcPr>
          <w:p>
            <w:pPr>
              <w:jc w:val="right"/>
              <w:spacing w:after="20"/>
            </w:pPr>
            <w:r>
              <w:rPr>
                <w:b/>
                <w:sz w:val="18"/>
                <w:szCs w:val="18"/>
              </w:rPr>
              <w:t xml:space="preserve">1,762,205.00</w:t>
            </w:r>
          </w:p>
        </w:tc>
      </w:tr>
      <w:tr>
        <w:tc>
          <w:tcPr>
            <w:tcW w:w="4526" w:type="dxa"/>
          </w:tcPr>
          <w:p>
            <w:pPr>
              <w:jc w:val="left"/>
              <w:spacing w:after="20"/>
            </w:pPr>
            <w:r>
              <w:rPr>
                <w:sz w:val="18"/>
                <w:szCs w:val="18"/>
              </w:rPr>
              <w:t xml:space="preserve">Other comprehensive income</w:t>
            </w:r>
          </w:p>
        </w:tc>
        <w:tc>
          <w:tcPr>
            <w:tcW w:w="1500" w:type="dxa"/>
          </w:tcPr>
          <w:p>
            <w:pPr>
              <w:jc w:val="left"/>
              <w:spacing w:after="20"/>
            </w:pPr>
            <w:r>
              <w:rPr>
                <w:sz w:val="18"/>
                <w:szCs w:val="18"/>
              </w:rPr>
              <w:t xml:space="preserve"/>
            </w:r>
          </w:p>
        </w:tc>
        <w:tc>
          <w:tcPr>
            <w:tcW w:w="1500" w:type="dxa"/>
          </w:tcPr>
          <w:p>
            <w:pPr>
              <w:jc w:val="right"/>
              <w:spacing w:after="20"/>
            </w:pPr>
            <w:r>
              <w:rPr>
                <w:sz w:val="18"/>
                <w:szCs w:val="18"/>
              </w:rPr>
              <w:t xml:space="preserve">—</w:t>
            </w:r>
          </w:p>
        </w:tc>
        <w:tc>
          <w:tcPr>
            <w:tcW w:w="1500" w:type="dxa"/>
          </w:tcPr>
          <w:p>
            <w:pPr>
              <w:jc w:val="right"/>
              <w:spacing w:after="20"/>
            </w:pPr>
            <w:r>
              <w:rPr>
                <w:sz w:val="18"/>
                <w:szCs w:val="18"/>
              </w:rPr>
              <w:t xml:space="preserve">—</w:t>
            </w:r>
          </w:p>
        </w:tc>
      </w:tr>
      <w:tr>
        <w:tc>
          <w:tcPr>
            <w:tcW w:w="4526" w:type="dxa"/>
          </w:tcPr>
          <w:p>
            <w:pPr>
              <w:jc w:val="left"/>
              <w:spacing w:after="20"/>
            </w:pPr>
            <w:r>
              <w:rPr>
                <w:b/>
                <w:sz w:val="18"/>
                <w:szCs w:val="18"/>
              </w:rPr>
              <w:t xml:space="preserve">Total comprehensive income for the year</w:t>
            </w:r>
          </w:p>
        </w:tc>
        <w:tc>
          <w:tcPr>
            <w:tcW w:w="1500" w:type="dxa"/>
          </w:tcPr>
          <w:p>
            <w:pPr>
              <w:jc w:val="left"/>
              <w:spacing w:after="20"/>
            </w:pPr>
            <w:r>
              <w:rPr>
                <w:b/>
                <w:sz w:val="18"/>
                <w:szCs w:val="18"/>
              </w:rPr>
              <w:t xml:space="preserve"/>
            </w:r>
          </w:p>
        </w:tc>
        <w:tc>
          <w:tcPr>
            <w:tcW w:w="1500" w:type="dxa"/>
          </w:tcPr>
          <w:p>
            <w:pPr>
              <w:jc w:val="right"/>
              <w:spacing w:after="20"/>
            </w:pPr>
            <w:r>
              <w:rPr>
                <w:b/>
                <w:sz w:val="18"/>
                <w:szCs w:val="18"/>
              </w:rPr>
              <w:t xml:space="preserve">1,416,200.00</w:t>
            </w:r>
          </w:p>
        </w:tc>
        <w:tc>
          <w:tcPr>
            <w:tcW w:w="1500" w:type="dxa"/>
          </w:tcPr>
          <w:p>
            <w:pPr>
              <w:jc w:val="right"/>
              <w:spacing w:after="20"/>
            </w:pPr>
            <w:r>
              <w:rPr>
                <w:b/>
                <w:sz w:val="18"/>
                <w:szCs w:val="18"/>
              </w:rPr>
              <w:t xml:space="preserve">1,762,205.00</w:t>
            </w:r>
          </w:p>
        </w:tc>
      </w:tr>
    </w:tbl>
    <w:p>
      <w:pPr>
        <w:spacing w:after="60"/>
      </w:pPr>
      <w:r>
        <w:t xml:space="preserve"/>
      </w:r>
    </w:p>
    <w:p>
      <w:pPr>
        <w:pStyle w:val="Heading1"/>
        <w:spacing w:after="120"/>
      </w:pPr>
      <w:r>
        <w:rPr>
          <w:b/>
          <w:sz w:val="24"/>
          <w:szCs w:val="24"/>
        </w:rPr>
        <w:t xml:space="preserve">Statement of Changes in Equity</w:t>
      </w:r>
    </w:p>
    <w:p>
      <w:pPr>
        <w:spacing w:after="40"/>
      </w:pPr>
      <w:r>
        <w:rPr>
          <w:i/>
          <w:color w:val="595959"/>
        </w:rPr>
        <w:t xml:space="preserve">For the year ended 31 March 2026</w:t>
      </w:r>
    </w:p>
    <w:p>
      <w:pPr>
        <w:spacing w:after="60"/>
      </w:pPr>
      <w:r>
        <w:rPr>
          <w:i/>
          <w:color w:val="595959"/>
          <w:sz w:val="16"/>
          <w:szCs w:val="16"/>
        </w:rPr>
        <w:t xml:space="preserve">Figures are stated in South African Rand</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
            </w:r>
          </w:p>
        </w:tc>
        <w:tc>
          <w:tcPr>
            <w:tcW w:w="1500" w:type="dxa"/>
            <w:shd w:val="clear" w:color="auto" w:fill="F2F2F2"/>
          </w:tcPr>
          <w:p>
            <w:pPr>
              <w:jc w:val="right"/>
              <w:spacing w:after="20"/>
            </w:pPr>
            <w:r>
              <w:rPr>
                <w:b/>
                <w:sz w:val="18"/>
                <w:szCs w:val="18"/>
              </w:rPr>
              <w:t xml:space="preserve">Notes</w:t>
            </w:r>
          </w:p>
        </w:tc>
        <w:tc>
          <w:tcPr>
            <w:tcW w:w="1500" w:type="dxa"/>
            <w:shd w:val="clear" w:color="auto" w:fill="F2F2F2"/>
          </w:tcPr>
          <w:p>
            <w:pPr>
              <w:jc w:val="right"/>
              <w:spacing w:after="20"/>
            </w:pPr>
            <w:r>
              <w:rPr>
                <w:b/>
                <w:sz w:val="18"/>
                <w:szCs w:val="18"/>
              </w:rPr>
              <w:t xml:space="preserve">2026 R</w:t>
            </w:r>
          </w:p>
        </w:tc>
      </w:tr>
      <w:tr>
        <w:tc>
          <w:tcPr>
            <w:tcW w:w="6026" w:type="dxa"/>
          </w:tcPr>
          <w:p>
            <w:pPr>
              <w:jc w:val="left"/>
              <w:spacing w:after="20"/>
            </w:pPr>
            <w:r>
              <w:rPr>
                <w:b/>
                <w:sz w:val="18"/>
                <w:szCs w:val="18"/>
              </w:rPr>
              <w:t xml:space="preserve">Balance at 1 April 2025</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5,180,705.00</w:t>
            </w:r>
          </w:p>
        </w:tc>
      </w:tr>
      <w:tr>
        <w:tc>
          <w:tcPr>
            <w:tcW w:w="6026" w:type="dxa"/>
          </w:tcPr>
          <w:p>
            <w:pPr>
              <w:jc w:val="left"/>
              <w:spacing w:after="20"/>
            </w:pPr>
            <w:r>
              <w:rPr>
                <w:sz w:val="18"/>
                <w:szCs w:val="18"/>
              </w:rPr>
              <w:t xml:space="preserve">Profit for the year</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1,762,205.00</w:t>
            </w:r>
          </w:p>
        </w:tc>
      </w:tr>
      <w:tr>
        <w:tc>
          <w:tcPr>
            <w:tcW w:w="6026" w:type="dxa"/>
          </w:tcPr>
          <w:p>
            <w:pPr>
              <w:jc w:val="left"/>
              <w:spacing w:after="20"/>
            </w:pPr>
            <w:r>
              <w:rPr>
                <w:sz w:val="18"/>
                <w:szCs w:val="18"/>
              </w:rPr>
              <w:t xml:space="preserve">Dividends declared</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w:t>
            </w:r>
          </w:p>
        </w:tc>
      </w:tr>
      <w:tr>
        <w:tc>
          <w:tcPr>
            <w:tcW w:w="6026" w:type="dxa"/>
          </w:tcPr>
          <w:p>
            <w:pPr>
              <w:jc w:val="left"/>
              <w:spacing w:after="20"/>
            </w:pPr>
            <w:r>
              <w:rPr>
                <w:b/>
                <w:sz w:val="18"/>
                <w:szCs w:val="18"/>
              </w:rPr>
              <w:t xml:space="preserve">Balance at 31 March 2026</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6,942,910.00</w:t>
            </w:r>
          </w:p>
        </w:tc>
      </w:tr>
    </w:tbl>
    <w:p>
      <w:pPr>
        <w:spacing w:after="60"/>
      </w:pPr>
      <w:r>
        <w:t xml:space="preserve"/>
      </w:r>
    </w:p>
    <w:p>
      <w:pPr>
        <w:pStyle w:val="Heading1"/>
        <w:spacing w:after="120"/>
      </w:pPr>
      <w:r>
        <w:rPr>
          <w:b/>
          <w:sz w:val="24"/>
          <w:szCs w:val="24"/>
        </w:rPr>
        <w:t xml:space="preserve">Statement of Cash Flows</w:t>
      </w:r>
    </w:p>
    <w:p>
      <w:pPr>
        <w:spacing w:after="40"/>
      </w:pPr>
      <w:r>
        <w:rPr>
          <w:i/>
          <w:color w:val="595959"/>
        </w:rPr>
        <w:t xml:space="preserve">For the year ended 31 March 2026</w:t>
      </w:r>
    </w:p>
    <w:p>
      <w:pPr>
        <w:spacing w:after="60"/>
      </w:pPr>
      <w:r>
        <w:rPr>
          <w:i/>
          <w:color w:val="595959"/>
          <w:sz w:val="16"/>
          <w:szCs w:val="16"/>
        </w:rPr>
        <w:t xml:space="preserve">Figures are stated in South African Rand</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
            </w:r>
          </w:p>
        </w:tc>
        <w:tc>
          <w:tcPr>
            <w:tcW w:w="1500" w:type="dxa"/>
            <w:shd w:val="clear" w:color="auto" w:fill="F2F2F2"/>
          </w:tcPr>
          <w:p>
            <w:pPr>
              <w:jc w:val="right"/>
              <w:spacing w:after="20"/>
            </w:pPr>
            <w:r>
              <w:rPr>
                <w:b/>
                <w:sz w:val="18"/>
                <w:szCs w:val="18"/>
              </w:rPr>
              <w:t xml:space="preserve">Notes</w:t>
            </w:r>
          </w:p>
        </w:tc>
        <w:tc>
          <w:tcPr>
            <w:tcW w:w="1500" w:type="dxa"/>
            <w:shd w:val="clear" w:color="auto" w:fill="F2F2F2"/>
          </w:tcPr>
          <w:p>
            <w:pPr>
              <w:jc w:val="right"/>
              <w:spacing w:after="20"/>
            </w:pPr>
            <w:r>
              <w:rPr>
                <w:b/>
                <w:sz w:val="18"/>
                <w:szCs w:val="18"/>
              </w:rPr>
              <w:t xml:space="preserve">2026 R</w:t>
            </w:r>
          </w:p>
        </w:tc>
      </w:tr>
      <w:tr>
        <w:tc>
          <w:tcPr>
            <w:tcW w:w="6026" w:type="dxa"/>
          </w:tcPr>
          <w:p>
            <w:pPr>
              <w:jc w:val="left"/>
              <w:spacing w:after="20"/>
            </w:pPr>
            <w:r>
              <w:rPr>
                <w:sz w:val="18"/>
                <w:szCs w:val="18"/>
              </w:rPr>
              <w:t xml:space="preserve">Cash flows from operating activities</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6026" w:type="dxa"/>
          </w:tcPr>
          <w:p>
            <w:pPr>
              <w:jc w:val="left"/>
              <w:spacing w:after="20"/>
            </w:pPr>
            <w:r>
              <w:rPr>
                <w:sz w:val="18"/>
                <w:szCs w:val="18"/>
              </w:rPr>
              <w:t xml:space="preserve">Cash generated from operations</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2,984,100.00</w:t>
            </w:r>
          </w:p>
        </w:tc>
      </w:tr>
      <w:tr>
        <w:tc>
          <w:tcPr>
            <w:tcW w:w="6026" w:type="dxa"/>
          </w:tcPr>
          <w:p>
            <w:pPr>
              <w:jc w:val="left"/>
              <w:spacing w:after="20"/>
            </w:pPr>
            <w:r>
              <w:rPr>
                <w:sz w:val="18"/>
                <w:szCs w:val="18"/>
              </w:rPr>
              <w:t xml:space="preserve">Finance costs paid</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(238,400.00)</w:t>
            </w:r>
          </w:p>
        </w:tc>
      </w:tr>
      <w:tr>
        <w:tc>
          <w:tcPr>
            <w:tcW w:w="6026" w:type="dxa"/>
          </w:tcPr>
          <w:p>
            <w:pPr>
              <w:jc w:val="left"/>
              <w:spacing w:after="20"/>
            </w:pPr>
            <w:r>
              <w:rPr>
                <w:sz w:val="18"/>
                <w:szCs w:val="18"/>
              </w:rPr>
              <w:t xml:space="preserve">Taxation paid</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(602,300.00)</w:t>
            </w:r>
          </w:p>
        </w:tc>
      </w:tr>
      <w:tr>
        <w:tc>
          <w:tcPr>
            <w:tcW w:w="6026" w:type="dxa"/>
          </w:tcPr>
          <w:p>
            <w:pPr>
              <w:jc w:val="left"/>
              <w:spacing w:after="20"/>
            </w:pPr>
            <w:r>
              <w:rPr>
                <w:b/>
                <w:sz w:val="18"/>
                <w:szCs w:val="18"/>
              </w:rPr>
              <w:t xml:space="preserve">Net cash from operating activities</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2,143,400.00</w:t>
            </w:r>
          </w:p>
        </w:tc>
      </w:tr>
      <w:tr>
        <w:tc>
          <w:tcPr>
            <w:tcW w:w="6026" w:type="dxa"/>
          </w:tcPr>
          <w:p>
            <w:pPr>
              <w:jc w:val="left"/>
              <w:spacing w:after="20"/>
            </w:pPr>
            <w:r>
              <w:rPr>
                <w:sz w:val="18"/>
                <w:szCs w:val="18"/>
              </w:rPr>
              <w:t xml:space="preserve">Cash flows from investing activities</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6026" w:type="dxa"/>
          </w:tcPr>
          <w:p>
            <w:pPr>
              <w:jc w:val="left"/>
              <w:spacing w:after="20"/>
            </w:pPr>
            <w:r>
              <w:rPr>
                <w:sz w:val="18"/>
                <w:szCs w:val="18"/>
              </w:rPr>
              <w:t xml:space="preserve">Acquisition of property, plant and equipment</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(1,284,000.00)</w:t>
            </w:r>
          </w:p>
        </w:tc>
      </w:tr>
      <w:tr>
        <w:tc>
          <w:tcPr>
            <w:tcW w:w="6026" w:type="dxa"/>
          </w:tcPr>
          <w:p>
            <w:pPr>
              <w:jc w:val="left"/>
              <w:spacing w:after="20"/>
            </w:pPr>
            <w:r>
              <w:rPr>
                <w:b/>
                <w:sz w:val="18"/>
                <w:szCs w:val="18"/>
              </w:rPr>
              <w:t xml:space="preserve">Net cash used in investing activities</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(1,284,000.00)</w:t>
            </w:r>
          </w:p>
        </w:tc>
      </w:tr>
      <w:tr>
        <w:tc>
          <w:tcPr>
            <w:tcW w:w="6026" w:type="dxa"/>
          </w:tcPr>
          <w:p>
            <w:pPr>
              <w:jc w:val="left"/>
              <w:spacing w:after="20"/>
            </w:pPr>
            <w:r>
              <w:rPr>
                <w:sz w:val="18"/>
                <w:szCs w:val="18"/>
              </w:rPr>
              <w:t xml:space="preserve">Cash flows from financing activities</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
            </w:r>
          </w:p>
        </w:tc>
      </w:tr>
      <w:tr>
        <w:tc>
          <w:tcPr>
            <w:tcW w:w="6026" w:type="dxa"/>
          </w:tcPr>
          <w:p>
            <w:pPr>
              <w:jc w:val="left"/>
              <w:spacing w:after="20"/>
            </w:pPr>
            <w:r>
              <w:rPr>
                <w:sz w:val="18"/>
                <w:szCs w:val="18"/>
              </w:rPr>
              <w:t xml:space="preserve">Repayment of borrowings</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(520,000.00)</w:t>
            </w:r>
          </w:p>
        </w:tc>
      </w:tr>
      <w:tr>
        <w:tc>
          <w:tcPr>
            <w:tcW w:w="6026" w:type="dxa"/>
          </w:tcPr>
          <w:p>
            <w:pPr>
              <w:jc w:val="left"/>
              <w:spacing w:after="20"/>
            </w:pPr>
            <w:r>
              <w:rPr>
                <w:b/>
                <w:sz w:val="18"/>
                <w:szCs w:val="18"/>
              </w:rPr>
              <w:t xml:space="preserve">Net cash used in financing activities</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(520,000.00)</w:t>
            </w:r>
          </w:p>
        </w:tc>
      </w:tr>
      <w:tr>
        <w:tc>
          <w:tcPr>
            <w:tcW w:w="6026" w:type="dxa"/>
          </w:tcPr>
          <w:p>
            <w:pPr>
              <w:jc w:val="left"/>
              <w:spacing w:after="20"/>
            </w:pPr>
            <w:r>
              <w:rPr>
                <w:b/>
                <w:sz w:val="18"/>
                <w:szCs w:val="18"/>
              </w:rPr>
              <w:t xml:space="preserve">Net increase in cash and cash equivalents</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339,400.00</w:t>
            </w:r>
          </w:p>
        </w:tc>
      </w:tr>
      <w:tr>
        <w:tc>
          <w:tcPr>
            <w:tcW w:w="6026" w:type="dxa"/>
          </w:tcPr>
          <w:p>
            <w:pPr>
              <w:jc w:val="left"/>
              <w:spacing w:after="20"/>
            </w:pPr>
            <w:r>
              <w:rPr>
                <w:sz w:val="18"/>
                <w:szCs w:val="18"/>
              </w:rPr>
              <w:t xml:space="preserve">Cash and cash equivalents at the beginning of the year</w:t>
            </w:r>
          </w:p>
        </w:tc>
        <w:tc>
          <w:tcPr>
            <w:tcW w:w="1500" w:type="dxa"/>
          </w:tcPr>
          <w:p>
            <w:pPr>
              <w:jc w:val="right"/>
              <w:spacing w:after="20"/>
            </w:pPr>
            <w:r>
              <w:rPr>
                <w:sz w:val="18"/>
                <w:szCs w:val="18"/>
              </w:rPr>
              <w:t xml:space="preserve"/>
            </w:r>
          </w:p>
        </w:tc>
        <w:tc>
          <w:tcPr>
            <w:tcW w:w="1500" w:type="dxa"/>
          </w:tcPr>
          <w:p>
            <w:pPr>
              <w:jc w:val="right"/>
              <w:spacing w:after="20"/>
            </w:pPr>
            <w:r>
              <w:rPr>
                <w:sz w:val="18"/>
                <w:szCs w:val="18"/>
              </w:rPr>
              <w:t xml:space="preserve">1,119,520.00</w:t>
            </w:r>
          </w:p>
        </w:tc>
      </w:tr>
      <w:tr>
        <w:tc>
          <w:tcPr>
            <w:tcW w:w="6026" w:type="dxa"/>
          </w:tcPr>
          <w:p>
            <w:pPr>
              <w:jc w:val="left"/>
              <w:spacing w:after="20"/>
            </w:pPr>
            <w:r>
              <w:rPr>
                <w:b/>
                <w:sz w:val="18"/>
                <w:szCs w:val="18"/>
              </w:rPr>
              <w:t xml:space="preserve">Cash and cash equivalents at the end of the year</w:t>
            </w:r>
          </w:p>
        </w:tc>
        <w:tc>
          <w:tcPr>
            <w:tcW w:w="1500" w:type="dxa"/>
          </w:tcPr>
          <w:p>
            <w:pPr>
              <w:jc w:val="right"/>
              <w:spacing w:after="20"/>
            </w:pPr>
            <w:r>
              <w:rPr>
                <w:b/>
                <w:sz w:val="18"/>
                <w:szCs w:val="18"/>
              </w:rPr>
              <w:t xml:space="preserve"/>
            </w:r>
          </w:p>
        </w:tc>
        <w:tc>
          <w:tcPr>
            <w:tcW w:w="1500" w:type="dxa"/>
          </w:tcPr>
          <w:p>
            <w:pPr>
              <w:jc w:val="right"/>
              <w:spacing w:after="20"/>
            </w:pPr>
            <w:r>
              <w:rPr>
                <w:b/>
                <w:sz w:val="18"/>
                <w:szCs w:val="18"/>
              </w:rPr>
              <w:t xml:space="preserve">1,458,920.00</w:t>
            </w:r>
          </w:p>
        </w:tc>
      </w:tr>
    </w:tbl>
    <w:p>
      <w:pPr>
        <w:spacing w:after="60"/>
      </w:pPr>
      <w:r>
        <w:t xml:space="preserve"/>
      </w:r>
    </w:p>
    <w:p>
      <w:pPr>
        <w:pStyle w:val="Heading1"/>
        <w:spacing w:after="120"/>
      </w:pPr>
      <w:r>
        <w:rPr>
          <w:b/>
          <w:sz w:val="26"/>
          <w:szCs w:val="26"/>
        </w:rPr>
        <w:t xml:space="preserve">Notes to the Annual Financial Statements</w:t>
      </w:r>
    </w:p>
    <w:p>
      <w:pPr>
        <w:pStyle w:val="Heading2"/>
        <w:spacing w:after="120"/>
      </w:pPr>
      <w:r>
        <w:rPr>
          <w:b/>
          <w:sz w:val="20"/>
          <w:szCs w:val="20"/>
        </w:rPr>
        <w:t xml:space="preserve">Note 1. Basis of preparation</w:t>
      </w:r>
    </w:p>
    <w:p>
      <w:pPr>
        <w:spacing w:after="120"/>
      </w:pPr>
      <w:r>
        <w:t xml:space="preserve">The annual financial statements have been prepared in accordance with the IFRS for SMEs and are presented in the functional and presentation currency of the entity. They have been prepared on the historical cost basis, except for financial instruments and other items measured at fair value or revalued amounts where required or elected, and are drawn up on the going concern and accrual bases of accounting.</w:t>
      </w:r>
    </w:p>
    <w:p>
      <w:pPr>
        <w:pStyle w:val="Heading2"/>
        <w:spacing w:after="120"/>
      </w:pPr>
      <w:r>
        <w:rPr>
          <w:b/>
          <w:sz w:val="20"/>
          <w:szCs w:val="20"/>
        </w:rPr>
        <w:t xml:space="preserve">Note 2. Significant accounting policies</w:t>
      </w:r>
    </w:p>
    <w:p>
      <w:pPr>
        <w:spacing w:after="120"/>
      </w:pPr>
      <w:r>
        <w:t xml:space="preserve">The principal accounting policies applied in the preparation of these annual financial statements are set out below. These policies have been applied consistently to all periods presented, unless otherwise stated, and are consistent with those applied in the previous reporting period.</w:t>
      </w:r>
    </w:p>
    <w:p>
      <w:pPr>
        <w:spacing w:after="120"/>
      </w:pPr>
      <w:r>
        <w:rPr>
          <w:b/>
        </w:rPr>
        <w:t xml:space="preserve">Basis of preparation</w:t>
      </w:r>
    </w:p>
    <w:p>
      <w:pPr>
        <w:spacing w:after="120"/>
      </w:pPr>
      <w:r>
        <w:t xml:space="preserve">The financial statements have been prepared in accordance with the IFRS for SMEs on the going concern basis, under the historical cost convention except where a standard requires or permits measurement at fair value, revalued amount or recoverable amount. Assets and liabilities are presented as current or non-current, and income and expenses are presented by nature or function, on a consistent basis between periods.</w:t>
      </w:r>
    </w:p>
    <w:p>
      <w:pPr>
        <w:spacing w:after="120"/>
      </w:pPr>
      <w:r>
        <w:rPr>
          <w:b/>
        </w:rPr>
        <w:t xml:space="preserve">Revenue from contracts with customers</w:t>
      </w:r>
    </w:p>
    <w:p>
      <w:pPr>
        <w:spacing w:after="120"/>
      </w:pPr>
      <w:r>
        <w:t xml:space="preserve">Revenue is recognised when the entity satisfies a performance obligation by transferring control of a promised good or service to a customer, either over time or at a point in time. Revenue is measured at the transaction price allocated to the performance obligation, being the consideration the entity expects to be entitled to, net of value added tax, discounts, rebates and returns, and adjusted for the effects of any significant financing component and variable consideration. Judgement is applied in identifying performance obligations, determining whether control transfers over time or at a point in time, and estimating variable consideration.</w:t>
      </w:r>
    </w:p>
    <w:p>
      <w:pPr>
        <w:spacing w:after="120"/>
      </w:pPr>
      <w:r>
        <w:rPr>
          <w:b/>
        </w:rPr>
        <w:t xml:space="preserve">Property, plant and equipment</w:t>
      </w:r>
    </w:p>
    <w:p>
      <w:pPr>
        <w:spacing w:after="120"/>
      </w:pPr>
      <w:r>
        <w:t xml:space="preserve">An item of property, plant and equipment is recognised as an asset when it is probable that future economic benefits associated with the item will flow to the entity and its cost can be measured reliably. Items are measured initially at cost, comprising the purchase price, import duties, non-refundable taxes and any costs directly attributable to bringing the asset to the location and condition necessary for it to operate. After recognition, items are carried at cost less accumulated depreciation and accumulated impairment losses. Depreciation is recognised on a straight-line basis over the estimated useful life of each significant component to its residual value. An item is derecognised on disposal or when no future economic benefits are expected from its use or disposal; the resulting gain or loss is recognised in profit or loss. Useful lives, residual values and depreciation methods are reviewed at each reporting date and adjusted prospectively where appropriate.</w:t>
      </w:r>
    </w:p>
    <w:p>
      <w:pPr>
        <w:spacing w:after="120"/>
      </w:pPr>
      <w:r>
        <w:rPr>
          <w:b/>
        </w:rPr>
        <w:t xml:space="preserve">Intangible assets</w:t>
      </w:r>
    </w:p>
    <w:p>
      <w:pPr>
        <w:spacing w:after="120"/>
      </w:pPr>
      <w:r>
        <w:t xml:space="preserve">An intangible asset is recognised when it is identifiable, the entity controls it, future economic benefits are probable and its cost can be measured reliably. Research expenditure is expensed as incurred; development expenditure is capitalised only when strict recognition criteria are met. Intangible assets are measured initially at cost. Intangible assets with finite useful lives are carried at cost less accumulated amortisation and impairment and amortised over their useful lives; those with indefinite useful lives are not amortised but tested annually for impairment.</w:t>
      </w:r>
    </w:p>
    <w:p>
      <w:pPr>
        <w:spacing w:after="120"/>
      </w:pPr>
      <w:r>
        <w:rPr>
          <w:b/>
        </w:rPr>
        <w:t xml:space="preserve">Investment property</w:t>
      </w:r>
    </w:p>
    <w:p>
      <w:pPr>
        <w:spacing w:after="120"/>
      </w:pPr>
      <w:r>
        <w:t xml:space="preserve">Investment property is property held to earn rentals or for capital appreciation and is distinguished from owner-occupied property. Investment property whose fair value can be measured reliably without undue cost or effort is measured at fair value through profit or loss; all other investment property is accounted for as property, plant and equipment at cost less depreciation and impairment.</w:t>
      </w:r>
    </w:p>
    <w:p>
      <w:pPr>
        <w:spacing w:after="120"/>
      </w:pPr>
      <w:r>
        <w:rPr>
          <w:b/>
        </w:rPr>
        <w:t xml:space="preserve">Leases</w:t>
      </w:r>
    </w:p>
    <w:p>
      <w:pPr>
        <w:spacing w:after="120"/>
      </w:pPr>
      <w:r>
        <w:t xml:space="preserve">At the commencement date of a lease the entity recognises a right-of-use asset and a corresponding lease liability, except for short-term leases and leases of low-value assets which are expensed on a straight-line basis. The lease liability is measured at the present value of the lease payments that are not paid at the commencement date, discounted using the interest rate implicit in the lease or the incremental borrowing rate. The right-of-use asset is measured at cost. The right-of-use asset is depreciated over the shorter of the lease term and the useful life of the asset, and the lease liability is increased by the finance charge and reduced by lease payments.</w:t>
      </w:r>
    </w:p>
    <w:p>
      <w:pPr>
        <w:spacing w:after="120"/>
      </w:pPr>
      <w:r>
        <w:rPr>
          <w:b/>
        </w:rPr>
        <w:t xml:space="preserve">Financial instruments</w:t>
      </w:r>
    </w:p>
    <w:p>
      <w:pPr>
        <w:spacing w:after="120"/>
      </w:pPr>
      <w:r>
        <w:t xml:space="preserve">Financial assets and financial liabilities are recognised when the entity becomes a party to the contractual provisions of the instrument. Basic financial instruments are measured initially at the transaction price, including transaction costs, unless the arrangement constitutes a financing transaction, in which case they are measured at the present value of future payments. Basic debt instruments are subsequently measured at amortised cost using the effective interest method, less impairment; other financial instruments are measured at fair value through profit or loss.</w:t>
      </w:r>
    </w:p>
    <w:p>
      <w:pPr>
        <w:spacing w:after="120"/>
      </w:pPr>
      <w:r>
        <w:rPr>
          <w:b/>
        </w:rPr>
        <w:t xml:space="preserve">Impairment of non-financial assets</w:t>
      </w:r>
    </w:p>
    <w:p>
      <w:pPr>
        <w:spacing w:after="120"/>
      </w:pPr>
      <w:r>
        <w:t xml:space="preserve">At each reporting date the entity assesses whether there is any indication that a non-financial asset may be impaired; goodwill and indefinite-life intangibles are tested annually. Where an indication exists, the recoverable amount of the asset is estimated as the higher of its fair value less costs of disposal and its value in use; an impairment loss is recognised where the carrying amount exceeds the recoverable amount.</w:t>
      </w:r>
    </w:p>
    <w:p>
      <w:pPr>
        <w:spacing w:after="120"/>
      </w:pPr>
      <w:r>
        <w:rPr>
          <w:b/>
        </w:rPr>
        <w:t xml:space="preserve">Inventories</w:t>
      </w:r>
    </w:p>
    <w:p>
      <w:pPr>
        <w:spacing w:after="120"/>
      </w:pPr>
      <w:r>
        <w:t xml:space="preserve">Inventories are measured initially at cost, comprising all costs of purchase, costs of conversion and other costs incurred in bringing them to their present location and condition. Inventories are subsequently measured at the lower of cost and net realisable value, with cost determined on the first-in-first-out or weighted-average basis.</w:t>
      </w:r>
    </w:p>
    <w:p>
      <w:pPr>
        <w:spacing w:after="120"/>
      </w:pPr>
      <w:r>
        <w:rPr>
          <w:b/>
        </w:rPr>
        <w:t xml:space="preserve">Provisions and contingencies</w:t>
      </w:r>
    </w:p>
    <w:p>
      <w:pPr>
        <w:spacing w:after="120"/>
      </w:pPr>
      <w:r>
        <w:t xml:space="preserve">A provision is recognised when the entity has a present legal or constructive obligation as a result of a past event, it is probable that an outflow of resources will be required to settle the obligation and a reliable estimate can be made of the amount. Provisions are measured at the best estimate of the expenditure required to settle the present obligation, discounted to present value where the effect is material.</w:t>
      </w:r>
    </w:p>
    <w:p>
      <w:pPr>
        <w:spacing w:after="120"/>
      </w:pPr>
      <w:r>
        <w:rPr>
          <w:b/>
        </w:rPr>
        <w:t xml:space="preserve">Employee benefits</w:t>
      </w:r>
    </w:p>
    <w:p>
      <w:pPr>
        <w:spacing w:after="120"/>
      </w:pPr>
      <w:r>
        <w:t xml:space="preserve">The cost of short-term employee benefits is recognised in the period in which the service is rendered; a liability is recognised for the amount expected to be paid in respect of accumulated leave and short-term bonuses. Contributions to defined contribution plans are recognised as an expense as employees render service; obligations under defined benefit plans are measured using the projected unit credit method.</w:t>
      </w:r>
    </w:p>
    <w:p>
      <w:pPr>
        <w:spacing w:after="120"/>
      </w:pPr>
      <w:r>
        <w:rPr>
          <w:b/>
        </w:rPr>
        <w:t xml:space="preserve">Taxation</w:t>
      </w:r>
    </w:p>
    <w:p>
      <w:pPr>
        <w:spacing w:after="120"/>
      </w:pPr>
      <w:r>
        <w:t xml:space="preserve">Current tax is the expected tax payable or receivable on the taxable income or loss for the year, using tax rates enacted or substantively enacted at the reporting date. Deferred tax is recognised on temporary differences between the carrying amounts of assets and liabilities and their tax bases, using the liability method. A deferred tax asset is recognised only to the extent that it is probable that future taxable profit will be available against which it can be utilised.</w:t>
      </w:r>
    </w:p>
    <w:p>
      <w:pPr>
        <w:spacing w:after="120"/>
      </w:pPr>
      <w:r>
        <w:rPr>
          <w:b/>
        </w:rPr>
        <w:t xml:space="preserve">Foreign currencies</w:t>
      </w:r>
    </w:p>
    <w:p>
      <w:pPr>
        <w:spacing w:after="120"/>
      </w:pPr>
      <w:r>
        <w:t xml:space="preserve">Transactions in foreign currencies are recorded at the spot exchange rate at the date of the transaction. Monetary items denominated in foreign currencies are retranslated at the closing rate at the reporting date, with exchange differences recognised in profit or loss; non-monetary items measured at historical cost are not retranslated.</w:t>
      </w:r>
    </w:p>
    <w:p>
      <w:pPr>
        <w:spacing w:after="120"/>
      </w:pPr>
      <w:r>
        <w:rPr>
          <w:b/>
        </w:rPr>
        <w:t xml:space="preserve">Government grants</w:t>
      </w:r>
    </w:p>
    <w:p>
      <w:pPr>
        <w:spacing w:after="120"/>
      </w:pPr>
      <w:r>
        <w:t xml:space="preserve">Government grants are recognised when there is reasonable assurance that the entity will comply with the conditions attaching to them and that the grants will be received. Grants are recognised in profit or loss on a systematic basis over the periods in which the entity recognises as expenses the related costs for which the grants are intended to compensate.</w:t>
      </w:r>
    </w:p>
    <w:p>
      <w:pPr>
        <w:pStyle w:val="Heading2"/>
        <w:spacing w:after="120"/>
      </w:pPr>
      <w:r>
        <w:rPr>
          <w:b/>
          <w:sz w:val="20"/>
          <w:szCs w:val="20"/>
        </w:rPr>
        <w:t xml:space="preserve">Note 3. Revenue</w:t>
      </w:r>
    </w:p>
    <w:p>
      <w:pPr>
        <w:spacing w:after="120"/>
      </w:pPr>
      <w:r>
        <w:t xml:space="preserve">Revenue represents the transfer of promised goods and services to customers in the ordinary course of business, measured at the transaction price net of value added tax, discounts and returns. Revenue is disaggregated below by major category and timing of transfer.</w:t>
      </w:r>
    </w:p>
    <w:p>
      <w:pPr>
        <w:spacing w:after="40"/>
      </w:pPr>
      <w:r>
        <w:rPr>
          <w:b/>
        </w:rPr>
        <w:t xml:space="preserve">Disaggregation of revenue</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Description</w:t>
            </w:r>
          </w:p>
        </w:tc>
        <w:tc>
          <w:tcPr>
            <w:tcW w:w="1500" w:type="dxa"/>
            <w:shd w:val="clear" w:color="auto" w:fill="F2F2F2"/>
          </w:tcPr>
          <w:p>
            <w:pPr>
              <w:jc w:val="right"/>
              <w:spacing w:after="20"/>
            </w:pPr>
            <w:r>
              <w:rPr>
                <w:b/>
                <w:sz w:val="18"/>
                <w:szCs w:val="18"/>
              </w:rPr>
              <w:t xml:space="preserve">Current year</w:t>
            </w:r>
          </w:p>
        </w:tc>
        <w:tc>
          <w:tcPr>
            <w:tcW w:w="1500" w:type="dxa"/>
            <w:shd w:val="clear" w:color="auto" w:fill="F2F2F2"/>
          </w:tcPr>
          <w:p>
            <w:pPr>
              <w:jc w:val="right"/>
              <w:spacing w:after="20"/>
            </w:pPr>
            <w:r>
              <w:rPr>
                <w:b/>
                <w:sz w:val="18"/>
                <w:szCs w:val="18"/>
              </w:rPr>
              <w:t xml:space="preserve">Prior year</w:t>
            </w:r>
          </w:p>
        </w:tc>
      </w:tr>
      <w:tr>
        <w:tc>
          <w:tcPr>
            <w:tcW w:w="6026" w:type="dxa"/>
          </w:tcPr>
          <w:p>
            <w:pPr>
              <w:jc w:val="left"/>
              <w:spacing w:after="20"/>
            </w:pPr>
            <w:r>
              <w:rPr>
                <w:sz w:val="18"/>
                <w:szCs w:val="18"/>
              </w:rPr>
              <w:t xml:space="preserve">Total revenue from contracts with customers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Sale of goods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Rendering of services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Royalties, licences and other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Revenue recognised at a point in time</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Revenue recognised over time</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bl>
    <w:p>
      <w:pPr>
        <w:spacing w:after="40"/>
      </w:pPr>
      <w:r>
        <w:t xml:space="preserve"/>
      </w:r>
    </w:p>
    <w:p>
      <w:pPr>
        <w:pStyle w:val="Heading2"/>
        <w:spacing w:after="120"/>
      </w:pPr>
      <w:r>
        <w:rPr>
          <w:b/>
          <w:sz w:val="20"/>
          <w:szCs w:val="20"/>
        </w:rPr>
        <w:t xml:space="preserve">Note 4. Property, plant and equipment</w:t>
      </w:r>
    </w:p>
    <w:p>
      <w:pPr>
        <w:spacing w:after="120"/>
      </w:pPr>
      <w:r>
        <w:t xml:space="preserve">The carrying amount of property, plant and equipment is reconciled below. Additions, disposals and the depreciation charge for the year are recorded in the fixed asset register and agreed to that register.</w:t>
      </w:r>
    </w:p>
    <w:p>
      <w:pPr>
        <w:spacing w:after="40"/>
      </w:pPr>
      <w:r>
        <w:rPr>
          <w:b/>
        </w:rPr>
        <w:t xml:space="preserve">Property, plant and equipment</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Description</w:t>
            </w:r>
          </w:p>
        </w:tc>
        <w:tc>
          <w:tcPr>
            <w:tcW w:w="1500" w:type="dxa"/>
            <w:shd w:val="clear" w:color="auto" w:fill="F2F2F2"/>
          </w:tcPr>
          <w:p>
            <w:pPr>
              <w:jc w:val="right"/>
              <w:spacing w:after="20"/>
            </w:pPr>
            <w:r>
              <w:rPr>
                <w:b/>
                <w:sz w:val="18"/>
                <w:szCs w:val="18"/>
              </w:rPr>
              <w:t xml:space="preserve">Current year</w:t>
            </w:r>
          </w:p>
        </w:tc>
        <w:tc>
          <w:tcPr>
            <w:tcW w:w="1500" w:type="dxa"/>
            <w:shd w:val="clear" w:color="auto" w:fill="F2F2F2"/>
          </w:tcPr>
          <w:p>
            <w:pPr>
              <w:jc w:val="right"/>
              <w:spacing w:after="20"/>
            </w:pPr>
            <w:r>
              <w:rPr>
                <w:b/>
                <w:sz w:val="18"/>
                <w:szCs w:val="18"/>
              </w:rPr>
              <w:t xml:space="preserve">Prior year</w:t>
            </w:r>
          </w:p>
        </w:tc>
      </w:tr>
      <w:tr>
        <w:tc>
          <w:tcPr>
            <w:tcW w:w="6026" w:type="dxa"/>
          </w:tcPr>
          <w:p>
            <w:pPr>
              <w:jc w:val="left"/>
              <w:spacing w:after="20"/>
            </w:pPr>
            <w:r>
              <w:rPr>
                <w:sz w:val="18"/>
                <w:szCs w:val="18"/>
              </w:rPr>
              <w:t xml:space="preserve">Carrying amount at the end of the year</w:t>
            </w:r>
          </w:p>
        </w:tc>
        <w:tc>
          <w:tcPr>
            <w:tcW w:w="1500" w:type="dxa"/>
          </w:tcPr>
          <w:p>
            <w:pPr>
              <w:jc w:val="right"/>
              <w:spacing w:after="20"/>
            </w:pPr>
            <w:r>
              <w:rPr>
                <w:sz w:val="18"/>
                <w:szCs w:val="18"/>
              </w:rPr>
              <w:t xml:space="preserve">4,218,650.00</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Cost at the beginning of the year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Additions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Disposals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Cost at the end of the year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Accumulated depreciation at the beginning of the year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Depreciation charge for the year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Accumulated depreciation on disposals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Impairment losses recognised</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Accumulated depreciation at the end of the year</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bl>
    <w:p>
      <w:pPr>
        <w:spacing w:after="40"/>
      </w:pPr>
      <w:r>
        <w:t xml:space="preserve"/>
      </w:r>
    </w:p>
    <w:p>
      <w:pPr>
        <w:pStyle w:val="Heading2"/>
        <w:spacing w:after="120"/>
      </w:pPr>
      <w:r>
        <w:rPr>
          <w:b/>
          <w:sz w:val="20"/>
          <w:szCs w:val="20"/>
        </w:rPr>
        <w:t xml:space="preserve">Note 5. Related parties</w:t>
      </w:r>
    </w:p>
    <w:p>
      <w:pPr>
        <w:spacing w:after="120"/>
      </w:pPr>
      <w:r>
        <w:t xml:space="preserve">Related party relationships exist between the entity and its holding company, fellow subsidiaries, directors and key management personnel, and entities controlled by them. Transactions with related parties are concluded in the ordinary course of business.</w:t>
      </w:r>
    </w:p>
    <w:p>
      <w:pPr>
        <w:spacing w:after="120"/>
      </w:pPr>
      <w:r>
        <w:t xml:space="preserve">Transactions and outstanding balances with related parties, and the remuneration of key management personnel, are set out below.</w:t>
      </w:r>
    </w:p>
    <w:p>
      <w:pPr>
        <w:spacing w:after="40"/>
      </w:pPr>
      <w:r>
        <w:rPr>
          <w:b/>
        </w:rPr>
        <w:t xml:space="preserve">Related party transactions and balances</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Related party / nature</w:t>
            </w:r>
          </w:p>
        </w:tc>
        <w:tc>
          <w:tcPr>
            <w:tcW w:w="1500" w:type="dxa"/>
            <w:shd w:val="clear" w:color="auto" w:fill="F2F2F2"/>
          </w:tcPr>
          <w:p>
            <w:pPr>
              <w:jc w:val="right"/>
              <w:spacing w:after="20"/>
            </w:pPr>
            <w:r>
              <w:rPr>
                <w:b/>
                <w:sz w:val="18"/>
                <w:szCs w:val="18"/>
              </w:rPr>
              <w:t xml:space="preserve">Transactions for the year</w:t>
            </w:r>
          </w:p>
        </w:tc>
        <w:tc>
          <w:tcPr>
            <w:tcW w:w="1500" w:type="dxa"/>
            <w:shd w:val="clear" w:color="auto" w:fill="F2F2F2"/>
          </w:tcPr>
          <w:p>
            <w:pPr>
              <w:jc w:val="right"/>
              <w:spacing w:after="20"/>
            </w:pPr>
            <w:r>
              <w:rPr>
                <w:b/>
                <w:sz w:val="18"/>
                <w:szCs w:val="18"/>
              </w:rPr>
              <w:t xml:space="preserve">Outstanding balance</w:t>
            </w:r>
          </w:p>
        </w:tc>
      </w:tr>
      <w:tr>
        <w:tc>
          <w:tcPr>
            <w:tcW w:w="6026" w:type="dxa"/>
          </w:tcPr>
          <w:p>
            <w:pPr>
              <w:jc w:val="left"/>
              <w:spacing w:after="20"/>
            </w:pPr>
            <w:r>
              <w:rPr>
                <w:sz w:val="18"/>
                <w:szCs w:val="18"/>
              </w:rPr>
              <w:t xml:space="preserve">Holding company</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Fellow subsidiaries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Directors and key management</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Entities controlled by key management</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bl>
    <w:p>
      <w:pPr>
        <w:spacing w:after="40"/>
      </w:pPr>
      <w:r>
        <w:t xml:space="preserve"/>
      </w:r>
    </w:p>
    <w:p>
      <w:pPr>
        <w:spacing w:after="40"/>
      </w:pPr>
      <w:r>
        <w:rPr>
          <w:b/>
        </w:rPr>
        <w:t xml:space="preserve">Key management remuneration</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Description</w:t>
            </w:r>
          </w:p>
        </w:tc>
        <w:tc>
          <w:tcPr>
            <w:tcW w:w="1500" w:type="dxa"/>
            <w:shd w:val="clear" w:color="auto" w:fill="F2F2F2"/>
          </w:tcPr>
          <w:p>
            <w:pPr>
              <w:jc w:val="right"/>
              <w:spacing w:after="20"/>
            </w:pPr>
            <w:r>
              <w:rPr>
                <w:b/>
                <w:sz w:val="18"/>
                <w:szCs w:val="18"/>
              </w:rPr>
              <w:t xml:space="preserve">Current year</w:t>
            </w:r>
          </w:p>
        </w:tc>
        <w:tc>
          <w:tcPr>
            <w:tcW w:w="1500" w:type="dxa"/>
            <w:shd w:val="clear" w:color="auto" w:fill="F2F2F2"/>
          </w:tcPr>
          <w:p>
            <w:pPr>
              <w:jc w:val="right"/>
              <w:spacing w:after="20"/>
            </w:pPr>
            <w:r>
              <w:rPr>
                <w:b/>
                <w:sz w:val="18"/>
                <w:szCs w:val="18"/>
              </w:rPr>
              <w:t xml:space="preserve">Prior year</w:t>
            </w:r>
          </w:p>
        </w:tc>
      </w:tr>
      <w:tr>
        <w:tc>
          <w:tcPr>
            <w:tcW w:w="6026" w:type="dxa"/>
          </w:tcPr>
          <w:p>
            <w:pPr>
              <w:jc w:val="left"/>
              <w:spacing w:after="20"/>
            </w:pPr>
            <w:r>
              <w:rPr>
                <w:sz w:val="18"/>
                <w:szCs w:val="18"/>
              </w:rPr>
              <w:t xml:space="preserve">Short-term employee benefits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Post-employment benefits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Other long-term benefits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Termination benefits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Total</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bl>
    <w:p>
      <w:pPr>
        <w:spacing w:after="40"/>
      </w:pPr>
      <w:r>
        <w:t xml:space="preserve"/>
      </w:r>
    </w:p>
    <w:p>
      <w:pPr>
        <w:pStyle w:val="Heading2"/>
        <w:spacing w:after="120"/>
      </w:pPr>
      <w:r>
        <w:rPr>
          <w:b/>
          <w:sz w:val="20"/>
          <w:szCs w:val="20"/>
        </w:rPr>
        <w:t xml:space="preserve">Note 6. Events after the reporting period</w:t>
      </w:r>
    </w:p>
    <w:p>
      <w:pPr>
        <w:spacing w:after="120"/>
      </w:pPr>
      <w:r>
        <w:t xml:space="preserve">The entity evaluates events occurring between the reporting date and the date of authorisation for issue. Adjusting events are reflected in the financial statements, and material non-adjusting events are disclosed. The directors are not aware of any matter or circumstance arising since the reporting date, not otherwise dealt with, that would materially affect the financial statements.</w:t>
      </w:r>
    </w:p>
    <w:p>
      <w:pPr>
        <w:pStyle w:val="Heading2"/>
        <w:spacing w:after="120"/>
      </w:pPr>
      <w:r>
        <w:rPr>
          <w:b/>
          <w:sz w:val="20"/>
          <w:szCs w:val="20"/>
        </w:rPr>
        <w:t xml:space="preserve">Note 7. General information</w:t>
      </w:r>
    </w:p>
    <w:p>
      <w:pPr>
        <w:spacing w:after="120"/>
      </w:pPr>
      <w:r>
        <w:t xml:space="preserve">The entity is incorporated and domiciled in its country of registration. These annual financial statements present the financial position, financial performance and cash flows of the entity for the reporting period, and were authorised for issue by the directors.</w:t>
      </w:r>
    </w:p>
    <w:p>
      <w:pPr>
        <w:pStyle w:val="Heading2"/>
        <w:spacing w:after="120"/>
      </w:pPr>
      <w:r>
        <w:rPr>
          <w:b/>
          <w:sz w:val="20"/>
          <w:szCs w:val="20"/>
        </w:rPr>
        <w:t xml:space="preserve">Note 8. Significant judgements and sources of estimation uncertainty</w:t>
      </w:r>
    </w:p>
    <w:p>
      <w:pPr>
        <w:spacing w:after="120"/>
      </w:pPr>
      <w:r>
        <w:t xml:space="preserve">In applying the accounting policies, management is required to make judgements, estimates and assumptions that affect the reported amounts of assets, liabilities, income and expenses. These estimates and associated assumptions are based on historical experience and other factors considered reasonable in the circumstances. Actual results may differ from these estimates, which are reviewed on an ongoing basis. Significant areas of judgement and estimation include the useful lives and residual values of assets, impairment assessments, the measurement of expected credit losses, the recognition and measurement of provisions, and the recoverability of deferred tax assets.</w:t>
      </w:r>
    </w:p>
    <w:p>
      <w:pPr>
        <w:pStyle w:val="Heading2"/>
        <w:spacing w:after="120"/>
      </w:pPr>
      <w:r>
        <w:rPr>
          <w:b/>
          <w:sz w:val="20"/>
          <w:szCs w:val="20"/>
        </w:rPr>
        <w:t xml:space="preserve">Note 9. Taxation</w:t>
      </w:r>
    </w:p>
    <w:p>
      <w:pPr>
        <w:spacing w:after="120"/>
      </w:pPr>
      <w:r>
        <w:t xml:space="preserve">The taxation charge comprises current and deferred taxation. A reconciliation of the tax expense to the amount that would arise using the standard rate of taxation is set out below.</w:t>
      </w:r>
    </w:p>
    <w:p>
      <w:pPr>
        <w:spacing w:after="40"/>
      </w:pPr>
      <w:r>
        <w:rPr>
          <w:b/>
        </w:rPr>
        <w:t xml:space="preserve">Reconciliation of the effective tax rate</w:t>
      </w:r>
    </w:p>
    <w:tbl>
      <w:tblPr>
        <w:tblW w:w="0" w:type="auto"/>
        <w:tblBorders>
          <w:top w:val="single" w:sz="4" w:space="0" w:color="BFBFBF"/>
          <w:bottom w:val="single" w:sz="4" w:space="0" w:color="BFBFBF"/>
          <w:insideH w:val="single" w:sz="2" w:space="0" w:color="E0E0E0"/>
        </w:tblBorders>
        <w:tblLook w:val="04A0" w:firstRow="1" w:lastRow="0" w:firstColumn="0" w:lastColumn="0" w:noHBand="0" w:noVBand="1"/>
      </w:tblPr>
      <w:tblGrid>
        <w:gridCol w:w="6026"/>
        <w:gridCol w:w="1500"/>
        <w:gridCol w:w="1500"/>
      </w:tblGrid>
      <w:tr>
        <w:trPr>
          <w:tblHeader/>
        </w:trPr>
        <w:tc>
          <w:tcPr>
            <w:tcW w:w="6026" w:type="dxa"/>
            <w:shd w:val="clear" w:color="auto" w:fill="F2F2F2"/>
          </w:tcPr>
          <w:p>
            <w:pPr>
              <w:jc w:val="left"/>
              <w:spacing w:after="20"/>
            </w:pPr>
            <w:r>
              <w:rPr>
                <w:b/>
                <w:sz w:val="18"/>
                <w:szCs w:val="18"/>
              </w:rPr>
              <w:t xml:space="preserve">Description</w:t>
            </w:r>
          </w:p>
        </w:tc>
        <w:tc>
          <w:tcPr>
            <w:tcW w:w="1500" w:type="dxa"/>
            <w:shd w:val="clear" w:color="auto" w:fill="F2F2F2"/>
          </w:tcPr>
          <w:p>
            <w:pPr>
              <w:jc w:val="right"/>
              <w:spacing w:after="20"/>
            </w:pPr>
            <w:r>
              <w:rPr>
                <w:b/>
                <w:sz w:val="18"/>
                <w:szCs w:val="18"/>
              </w:rPr>
              <w:t xml:space="preserve">Current year</w:t>
            </w:r>
          </w:p>
        </w:tc>
        <w:tc>
          <w:tcPr>
            <w:tcW w:w="1500" w:type="dxa"/>
            <w:shd w:val="clear" w:color="auto" w:fill="F2F2F2"/>
          </w:tcPr>
          <w:p>
            <w:pPr>
              <w:jc w:val="right"/>
              <w:spacing w:after="20"/>
            </w:pPr>
            <w:r>
              <w:rPr>
                <w:b/>
                <w:sz w:val="18"/>
                <w:szCs w:val="18"/>
              </w:rPr>
              <w:t xml:space="preserve">Prior year</w:t>
            </w:r>
          </w:p>
        </w:tc>
      </w:tr>
      <w:tr>
        <w:tc>
          <w:tcPr>
            <w:tcW w:w="6026" w:type="dxa"/>
          </w:tcPr>
          <w:p>
            <w:pPr>
              <w:jc w:val="left"/>
              <w:spacing w:after="20"/>
            </w:pPr>
            <w:r>
              <w:rPr>
                <w:sz w:val="18"/>
                <w:szCs w:val="18"/>
              </w:rPr>
              <w:t xml:space="preserve">Accounting profit / (loss) before tax</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Tax at the standard rate</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Non-deductible expenses</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Exempt income</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Assessed losses not recognised</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r>
        <w:tc>
          <w:tcPr>
            <w:tcW w:w="6026" w:type="dxa"/>
          </w:tcPr>
          <w:p>
            <w:pPr>
              <w:jc w:val="left"/>
              <w:spacing w:after="20"/>
            </w:pPr>
            <w:r>
              <w:rPr>
                <w:sz w:val="18"/>
                <w:szCs w:val="18"/>
              </w:rPr>
              <w:t xml:space="preserve">Total tax expense</w:t>
            </w:r>
          </w:p>
        </w:tc>
        <w:tc>
          <w:tcPr>
            <w:tcW w:w="1500" w:type="dxa"/>
          </w:tcPr>
          <w:p>
            <w:pPr>
              <w:jc w:val="right"/>
              <w:spacing w:after="20"/>
            </w:pPr>
            <w:r>
              <w:rPr>
                <w:sz w:val="18"/>
                <w:szCs w:val="18"/>
              </w:rPr>
              <w:t xml:space="preserve">[ — ]</w:t>
            </w:r>
          </w:p>
        </w:tc>
        <w:tc>
          <w:tcPr>
            <w:tcW w:w="1500" w:type="dxa"/>
          </w:tcPr>
          <w:p>
            <w:pPr>
              <w:jc w:val="right"/>
              <w:spacing w:after="20"/>
            </w:pPr>
            <w:r>
              <w:rPr>
                <w:sz w:val="18"/>
                <w:szCs w:val="18"/>
              </w:rPr>
              <w:t xml:space="preserve">[ — ]</w:t>
            </w:r>
          </w:p>
        </w:tc>
      </w:tr>
    </w:tbl>
    <w:p>
      <w:pPr>
        <w:spacing w:after="40"/>
      </w:pPr>
      <w:r>
        <w:t xml:space="preserve"/>
      </w:r>
    </w:p>
    <w:p>
      <w:pPr>
        <w:pStyle w:val="Heading1"/>
        <w:spacing w:after="120"/>
      </w:pPr>
      <w:r>
        <w:rPr>
          <w:b/>
          <w:sz w:val="26"/>
          <w:szCs w:val="26"/>
        </w:rPr>
        <w:t xml:space="preserve">Supplementary Information</w:t>
      </w:r>
    </w:p>
    <w:p>
      <w:pPr>
        <w:spacing w:after="120"/>
      </w:pPr>
      <w:r>
        <w:rPr>
          <w:color w:val="595959"/>
        </w:rPr>
        <w:t xml:space="preserve">The schedules set out in this section do not form part of the audited annual financial statements and are presented as supplementary information for the use of the directors and management.</w:t>
      </w:r>
    </w:p>
    <w:p>
      <w:pPr>
        <w:spacing w:after="120"/>
      </w:pPr>
      <w:r>
        <w:rPr>
          <w:color w:val="595959"/>
        </w:rPr>
        <w:t xml:space="preserve">Where prepared, the detailed income statement and the taxation computation of the company are presented in this section. These schedules are unaudited and are provided to support the analysis of the results disclosed in the primary statements.</w:t>
      </w:r>
    </w:p>
    <w:p>
      <w:pPr>
        <w:pStyle w:val="Heading1"/>
        <w:spacing w:after="120"/>
      </w:pPr>
      <w:r>
        <w:rPr>
          <w:b/>
          <w:sz w:val="26"/>
          <w:szCs w:val="26"/>
        </w:rPr>
        <w:t xml:space="preserve">Approval of Annual Financial Statements</w:t>
      </w:r>
    </w:p>
    <w:p>
      <w:pPr>
        <w:spacing w:after="120"/>
      </w:pPr>
      <w:r>
        <w:t xml:space="preserve">The annual financial statements were approved by the board of directors and are signed on its behalf by:</w:t>
      </w:r>
    </w:p>
    <w:p>
      <w:pPr>
        <w:spacing w:after="80"/>
      </w:pPr>
      <w:r>
        <w:rPr>
          <w:b/>
          <w:sz w:val="20"/>
          <w:szCs w:val="20"/>
        </w:rPr>
        <w:t xml:space="preserve">Prepared By</w:t>
      </w:r>
    </w:p>
    <w:p>
      <w:pPr>
        <w:spacing w:after="20"/>
      </w:pPr>
      <w:r>
        <w:t xml:space="preserve">______________________________</w:t>
      </w:r>
    </w:p>
    <w:p>
      <w:pPr>
        <w:spacing w:after="20"/>
      </w:pPr>
      <w:r>
        <w:rPr>
          <w:color w:val="595959"/>
        </w:rPr>
        <w:t xml:space="preserve">[Signature]</w:t>
      </w:r>
    </w:p>
    <w:p>
      <w:pPr>
        <w:spacing w:after="20"/>
      </w:pPr>
      <w:r>
        <w:t xml:space="preserve">A. Petersen CA(SA)</w:t>
      </w:r>
    </w:p>
    <w:p>
      <w:pPr>
        <w:spacing w:after="20"/>
      </w:pPr>
      <w:r>
        <w:rPr>
          <w:color w:val="595959"/>
        </w:rPr>
        <w:t xml:space="preserve">Prepared by</w:t>
      </w:r>
    </w:p>
    <w:p>
      <w:pPr>
        <w:spacing w:after="120"/>
      </w:pPr>
      <w:r>
        <w:rPr>
          <w:color w:val="595959"/>
        </w:rPr>
        <w:t xml:space="preserve">[Date]</w:t>
      </w:r>
    </w:p>
    <w:p>
      <w:pPr>
        <w:spacing w:after="80"/>
      </w:pPr>
      <w:r>
        <w:rPr>
          <w:b/>
          <w:sz w:val="20"/>
          <w:szCs w:val="20"/>
        </w:rPr>
        <w:t xml:space="preserve">Reviewed By</w:t>
      </w:r>
    </w:p>
    <w:p>
      <w:pPr>
        <w:spacing w:after="20"/>
      </w:pPr>
      <w:r>
        <w:t xml:space="preserve">______________________________</w:t>
      </w:r>
    </w:p>
    <w:p>
      <w:pPr>
        <w:spacing w:after="20"/>
      </w:pPr>
      <w:r>
        <w:rPr>
          <w:color w:val="595959"/>
        </w:rPr>
        <w:t xml:space="preserve">[Signature]</w:t>
      </w:r>
    </w:p>
    <w:p>
      <w:pPr>
        <w:spacing w:after="20"/>
      </w:pPr>
      <w:r>
        <w:t xml:space="preserve">S. Moloi CA(SA)</w:t>
      </w:r>
    </w:p>
    <w:p>
      <w:pPr>
        <w:spacing w:after="20"/>
      </w:pPr>
      <w:r>
        <w:rPr>
          <w:color w:val="595959"/>
        </w:rPr>
        <w:t xml:space="preserve">Reviewer</w:t>
      </w:r>
    </w:p>
    <w:p>
      <w:pPr>
        <w:spacing w:after="120"/>
      </w:pPr>
      <w:r>
        <w:rPr>
          <w:color w:val="595959"/>
        </w:rPr>
        <w:t xml:space="preserve">[Date]</w:t>
      </w:r>
    </w:p>
    <w:p>
      <w:pPr>
        <w:spacing w:after="80"/>
      </w:pPr>
      <w:r>
        <w:rPr>
          <w:b/>
          <w:sz w:val="20"/>
          <w:szCs w:val="20"/>
        </w:rPr>
        <w:t xml:space="preserve">Approved By</w:t>
      </w:r>
    </w:p>
    <w:p>
      <w:pPr>
        <w:spacing w:after="20"/>
      </w:pPr>
      <w:r>
        <w:t xml:space="preserve">______________________________</w:t>
      </w:r>
    </w:p>
    <w:p>
      <w:pPr>
        <w:spacing w:after="20"/>
      </w:pPr>
      <w:r>
        <w:rPr>
          <w:color w:val="595959"/>
        </w:rPr>
        <w:t xml:space="preserve">[Signature]</w:t>
      </w:r>
    </w:p>
    <w:p>
      <w:pPr>
        <w:spacing w:after="20"/>
      </w:pPr>
      <w:r>
        <w:t xml:space="preserve">R. van der Merwe</w:t>
      </w:r>
    </w:p>
    <w:p>
      <w:pPr>
        <w:spacing w:after="20"/>
      </w:pPr>
      <w:r>
        <w:rPr>
          <w:color w:val="595959"/>
        </w:rPr>
        <w:t xml:space="preserve">Partner</w:t>
      </w:r>
    </w:p>
    <w:p>
      <w:pPr>
        <w:spacing w:after="120"/>
      </w:pPr>
      <w:r>
        <w:rPr>
          <w:color w:val="595959"/>
        </w:rPr>
        <w:t xml:space="preserve">2026-06-24</w:t>
      </w:r>
    </w:p>
    <w:p>
      <w:pPr>
        <w:spacing w:after="80"/>
      </w:pPr>
      <w:r>
        <w:rPr>
          <w:b/>
          <w:sz w:val="20"/>
          <w:szCs w:val="20"/>
        </w:rPr>
        <w:t xml:space="preserve">Authorised Representative</w:t>
      </w:r>
    </w:p>
    <w:p>
      <w:pPr>
        <w:spacing w:after="20"/>
      </w:pPr>
      <w:r>
        <w:t xml:space="preserve">______________________________</w:t>
      </w:r>
    </w:p>
    <w:p>
      <w:pPr>
        <w:spacing w:after="20"/>
      </w:pPr>
      <w:r>
        <w:rPr>
          <w:color w:val="595959"/>
        </w:rPr>
        <w:t xml:space="preserve">[Signature]</w:t>
      </w:r>
    </w:p>
    <w:p>
      <w:pPr>
        <w:spacing w:after="20"/>
      </w:pPr>
      <w:r>
        <w:t xml:space="preserve">T. Nkosi</w:t>
      </w:r>
    </w:p>
    <w:p>
      <w:pPr>
        <w:spacing w:after="20"/>
      </w:pPr>
      <w:r>
        <w:rPr>
          <w:color w:val="595959"/>
        </w:rPr>
        <w:t xml:space="preserve">Company Secretary</w:t>
      </w:r>
    </w:p>
    <w:p>
      <w:pPr>
        <w:spacing w:after="120"/>
      </w:pPr>
      <w:r>
        <w:rPr>
          <w:color w:val="595959"/>
        </w:rPr>
        <w:t xml:space="preserve">2026-06-24</w:t>
      </w:r>
    </w:p>
    <w:sectPr>
      <w:headerReference w:type="default" r:id="rId2"/>
      <w:footerReference w:type="default" r:id="rId3"/>
      <w:pgSz w:w="11906" w:h="16838"/>
      <w:pgMar w:top="1440" w:right="1440" w:bottom="1440" w:left="1440" w:header="720" w:footer="720" w:gutter="0"/>
    </w:sectPr>
  </w:body>
</w:document>
</file>

<file path=word/footer1.xml><?xml version="1.0" encoding="utf-8"?>
<w:ftr xmlns:w="http://schemas.openxmlformats.org/wordprocessingml/2006/main">
  <w:p>
    <w:pPr>
      <w:jc w:val="center"/>
      <w:pBdr>
        <w:top w:val="single" w:sz="4" w:space="1" w:color="C8D0CC"/>
      </w:pBdr>
    </w:pPr>
    <w:r>
      <w:rPr>
        <w:color w:val="595959"/>
        <w:sz w:val="16"/>
        <w:szCs w:val="16"/>
      </w:rPr>
      <w:t xml:space="preserve">AdminLess Fin   </w:t>
    </w:r>
    <w:r>
      <w:rPr>
        <w:color w:val="595959"/>
        <w:sz w:val="16"/>
        <w:szCs w:val="16"/>
      </w:rPr>
      <w:t xml:space="preserve">Page </w:t>
    </w:r>
    <w:r>
      <w:rPr>
        <w:sz w:val="16"/>
      </w:rPr>
      <w:fldChar w:fldCharType="begin"/>
    </w:r>
    <w:r>
      <w:instrText xml:space="preserve"> PAGE </w:instrText>
    </w:r>
    <w:r>
      <w:fldChar w:fldCharType="end"/>
    </w:r>
    <w:r>
      <w:rPr>
        <w:color w:val="595959"/>
        <w:sz w:val="16"/>
        <w:szCs w:val="16"/>
      </w:rPr>
      <w:t xml:space="preserve"> / </w:t>
    </w:r>
    <w:r>
      <w:rPr>
        <w:sz w:val="16"/>
      </w:rPr>
      <w:fldChar w:fldCharType="begin"/>
    </w:r>
    <w:r>
      <w:instrText xml:space="preserve"> NUMPAGES </w:instrText>
    </w:r>
    <w:r>
      <w:fldChar w:fldCharType="end"/>
    </w:r>
    <w:r>
      <w:rPr>
        <w:color w:val="595959"/>
        <w:sz w:val="16"/>
        <w:szCs w:val="16"/>
      </w:rPr>
      <w:t xml:space="preserve">   20 July 2026</w:t>
    </w:r>
  </w:p>
</w:ftr>
</file>

<file path=word/header1.xml><?xml version="1.0" encoding="utf-8"?>
<w:hdr xmlns:w="http://schemas.openxmlformats.org/wordprocessingml/2006/main">
  <w:p>
    <w:pPr>
      <w:pBdr>
        <w:bottom w:val="single" w:sz="4" w:space="1" w:color="1F6B52"/>
      </w:pBdr>
    </w:pPr>
    <w:r>
      <w:rPr>
        <w:b/>
        <w:sz w:val="18"/>
        <w:szCs w:val="18"/>
      </w:rPr>
      <w:t xml:space="preserve">Meridian Trading Solutions (Pty) Ltd</w:t>
    </w:r>
    <w:r>
      <w:br/>
    </w:r>
    <w:r>
      <w:rPr>
        <w:color w:val="595959"/>
        <w:sz w:val="16"/>
        <w:szCs w:val="16"/>
      </w:rPr>
      <w:t xml:space="preserve">Registration number: 2016/348271/07</w:t>
    </w:r>
  </w:p>
</w:hdr>
</file>

<file path=word/styles.xml><?xml version="1.0" encoding="utf-8"?>
<w:styles xmlns:w="http://schemas.openxmlformats.org/wordprocessingml/2006/main">
  <w:docDefaults>
    <w:rPrDefault>
      <w:rPr>
        <w:rFonts w:ascii="Times New Roman" w:hAnsi="Times New Roman"/>
        <w:sz w:val="19"/>
      </w:rPr>
    </w:rPrDefault>
  </w:docDefaults>
  <w:style w:type="paragraph" w:default="1" w:styleId="Normal">
    <w:name w:val="Normal"/>
  </w:style>
  <w:style w:type="paragraph" w:styleId="Title">
    <w:name w:val="Title"/>
    <w:rPr>
      <w:b/>
      <w:sz w:val="44"/>
    </w:rPr>
  </w:style>
  <w:style w:type="paragraph" w:styleId="Heading1">
    <w:name w:val="heading 1"/>
    <w:pPr>
      <w:keepNext/>
      <w:spacing w:before="240" w:after="120"/>
    </w:pPr>
    <w:rPr>
      <w:b/>
      <w:sz w:val="26"/>
    </w:rPr>
  </w:style>
  <w:style w:type="paragraph" w:styleId="Heading2">
    <w:name w:val="heading 2"/>
    <w:pPr>
      <w:keepNext/>
      <w:spacing w:before="160" w:after="80"/>
    </w:pPr>
    <w:rPr>
      <w:b/>
      <w:sz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