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80"/>
      </w:pPr>
      <w:r>
        <w:rPr>
          <w:b/>
          <w:color w:val="122E47"/>
          <w:sz w:val="44"/>
          <w:szCs w:val="44"/>
        </w:rPr>
        <w:t xml:space="preserve">Meridian Trading Solutions (Pty) Ltd</w:t>
      </w:r>
    </w:p>
    <w:p>
      <w:pPr>
        <w:jc w:val="center"/>
        <w:spacing w:after="40"/>
      </w:pPr>
      <w:r>
        <w:rPr>
          <w:color w:val="595959"/>
        </w:rPr>
        <w:t xml:space="preserve">Registration number 2016/348271/07</w:t>
      </w:r>
    </w:p>
    <w:p>
      <w:pPr>
        <w:jc w:val="center"/>
        <w:spacing w:after="40"/>
      </w:pPr>
      <w:r>
        <w:rPr>
          <w:color w:val="595959"/>
        </w:rPr>
        <w:t xml:space="preserve">Trading as Meridian Trading</w:t>
      </w:r>
    </w:p>
    <w:p>
      <w:pPr>
        <w:jc w:val="center"/>
        <w:spacing w:after="40"/>
      </w:pPr>
      <w:r>
        <w:rPr>
          <w:b/>
          <w:color w:val="122E47"/>
          <w:sz w:val="28"/>
          <w:szCs w:val="28"/>
        </w:rPr>
        <w:t xml:space="preserve">Annual Financial Statements</w:t>
      </w:r>
    </w:p>
    <w:p>
      <w:pPr>
        <w:jc w:val="center"/>
        <w:spacing w:after="40"/>
      </w:pPr>
      <w:r>
        <w:t xml:space="preserve">FOR THE YEAR ENDED 31 MARCH 2026</w:t>
      </w:r>
    </w:p>
    <w:p>
      <w:pPr>
        <w:jc w:val="center"/>
        <w:spacing w:after="20"/>
      </w:pPr>
      <w:r>
        <w:t xml:space="preserve">Prepared in accordance with IFRS for SMEs</w:t>
      </w:r>
    </w:p>
    <w:p>
      <w:pPr>
        <w:jc w:val="center"/>
        <w:spacing w:after="120"/>
      </w:pPr>
      <w:r>
        <w:rPr>
          <w:color w:val="595959"/>
        </w:rPr>
        <w:t xml:space="preserve">Figures are stated in South African Rand</w:t>
      </w:r>
    </w:p>
    <w:p>
      <w:pPr>
        <w:jc w:val="center"/>
        <w:spacing w:after="20"/>
      </w:pPr>
      <w:r>
        <w:rPr>
          <w:b/>
          <w:color w:val="122E47"/>
          <w:sz w:val="18"/>
          <w:szCs w:val="18"/>
        </w:rPr>
        <w:t xml:space="preserve">AdminLess Fin</w:t>
      </w:r>
    </w:p>
    <w:p>
      <w:pPr>
        <w:jc w:val="center"/>
        <w:spacing w:after="200"/>
      </w:pPr>
      <w:r>
        <w:rPr>
          <w:color w:val="595959"/>
          <w:sz w:val="16"/>
          <w:szCs w:val="16"/>
        </w:rPr>
        <w:t xml:space="preserve">Enterprise Accounts Production</w:t>
      </w:r>
    </w:p>
    <w:p>
      <w:pPr>
        <w:pStyle w:val="Heading1"/>
        <w:spacing w:after="120"/>
      </w:pPr>
      <w:r>
        <w:rPr>
          <w:b/>
          <w:sz w:val="26"/>
          <w:szCs w:val="26"/>
        </w:rPr>
        <w:t xml:space="preserve">Contents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Corporate Information</w:t>
      </w:r>
    </w:p>
    <w:p>
      <w:pPr>
        <w:spacing w:after="40"/>
      </w:pPr>
      <w:r>
        <w:t xml:space="preserve">Statement of Financial Position</w:t>
      </w:r>
    </w:p>
    <w:p>
      <w:pPr>
        <w:spacing w:after="40"/>
      </w:pPr>
      <w:r>
        <w:t xml:space="preserve">Statement of Profit or Loss and Other Comprehensive Income</w:t>
      </w:r>
    </w:p>
    <w:p>
      <w:pPr>
        <w:spacing w:after="40"/>
      </w:pPr>
      <w:r>
        <w:t xml:space="preserve">Statement of Changes in Equity</w:t>
      </w:r>
    </w:p>
    <w:p>
      <w:pPr>
        <w:spacing w:after="40"/>
      </w:pPr>
      <w:r>
        <w:t xml:space="preserve">Statement of Cash Flows</w:t>
      </w:r>
    </w:p>
    <w:p>
      <w:pPr>
        <w:spacing w:after="40"/>
      </w:pPr>
      <w:r>
        <w:t xml:space="preserve">Significant Accounting Policies</w:t>
      </w:r>
    </w:p>
    <w:p>
      <w:pPr>
        <w:spacing w:after="40"/>
      </w:pPr>
      <w:r>
        <w:t xml:space="preserve">Notes to the Financial Statements</w:t>
      </w:r>
    </w:p>
    <w:p>
      <w:pPr>
        <w:spacing w:after="40"/>
      </w:pPr>
      <w:r>
        <w:t xml:space="preserve">Note 1. Basis of preparation</w:t>
      </w:r>
    </w:p>
    <w:p>
      <w:pPr>
        <w:spacing w:after="40"/>
      </w:pPr>
      <w:r>
        <w:t xml:space="preserve">Note 2. Revenue</w:t>
      </w:r>
    </w:p>
    <w:p>
      <w:pPr>
        <w:spacing w:after="40"/>
      </w:pPr>
      <w:r>
        <w:t xml:space="preserve">Note 3. Property, plant and equipment</w:t>
      </w:r>
    </w:p>
    <w:p>
      <w:pPr>
        <w:spacing w:after="40"/>
      </w:pPr>
      <w:r>
        <w:t xml:space="preserve">Note 4. Related party disclosures</w:t>
      </w:r>
    </w:p>
    <w:p>
      <w:pPr>
        <w:spacing w:after="40"/>
      </w:pPr>
      <w:r>
        <w:t xml:space="preserve">Note 5. Events after the end of the reporting period</w:t>
      </w:r>
    </w:p>
    <w:p>
      <w:pPr>
        <w:spacing w:after="40"/>
      </w:pPr>
      <w:r>
        <w:t xml:space="preserve">Note 6. General information</w:t>
      </w:r>
    </w:p>
    <w:p>
      <w:pPr>
        <w:spacing w:after="40"/>
      </w:pPr>
      <w:r>
        <w:t xml:space="preserve">Note 7. Income tax</w:t>
      </w:r>
    </w:p>
    <w:p>
      <w:pPr>
        <w:spacing w:after="40"/>
      </w:pPr>
      <w:r>
        <w:t xml:space="preserve">Note 8. Significant judgements and sources of estimation uncertainty</w:t>
      </w:r>
    </w:p>
    <w:p>
      <w:pPr>
        <w:spacing w:after="40"/>
      </w:pPr>
      <w:r>
        <w:t xml:space="preserve">Supplementary Information</w:t>
      </w:r>
    </w:p>
    <w:p>
      <w:pPr>
        <w:spacing w:after="40"/>
      </w:pPr>
      <w:r>
        <w:t xml:space="preserve">Reconciliation of property, plant and equipment</w:t>
      </w:r>
    </w:p>
    <w:p>
      <w:pPr>
        <w:spacing w:after="40"/>
      </w:pPr>
      <w:r>
        <w:t xml:space="preserve">Approval of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Meridian Trading Solutions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and are signed on its behalf by the directors whose signatures appear in the approval section of this report.</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Meridian Trading Solutions (Pty) Ltd for the year ended 31 march 2026.</w:t>
      </w:r>
    </w:p>
    <w:p>
      <w:pPr>
        <w:spacing w:after="40"/>
      </w:pPr>
      <w:r>
        <w:rPr>
          <w:b/>
          <w:sz w:val="20"/>
          <w:szCs w:val="20"/>
        </w:rPr>
        <w:t xml:space="preserve">1. Nature of business</w:t>
      </w:r>
    </w:p>
    <w:p>
      <w:pPr>
        <w:spacing w:after="120"/>
      </w:pPr>
      <w:r>
        <w:t xml:space="preserve">The wholesale distribution of industrial hardware and the provision of related logistics services</w:t>
      </w:r>
    </w:p>
    <w:p>
      <w:pPr>
        <w:spacing w:after="40"/>
      </w:pPr>
      <w:r>
        <w:rPr>
          <w:b/>
          <w:sz w:val="20"/>
          <w:szCs w:val="20"/>
        </w:rPr>
        <w:t xml:space="preserve">2. Review of financial results and activities</w:t>
      </w:r>
    </w:p>
    <w:p>
      <w:pPr>
        <w:spacing w:after="120"/>
      </w:pPr>
      <w:r>
        <w:t xml:space="preserve">The financial results and position of the company are fully set out in the annual financial statements and require no further comment. The directors consider that the statements fairly present the financial affairs of the company.</w:t>
      </w:r>
    </w:p>
    <w:p>
      <w:pPr>
        <w:spacing w:after="40"/>
      </w:pPr>
      <w:r>
        <w:rPr>
          <w:b/>
          <w:sz w:val="20"/>
          <w:szCs w:val="20"/>
        </w:rPr>
        <w:t xml:space="preserve">3.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4. Events after the reporting period</w:t>
      </w:r>
    </w:p>
    <w:p>
      <w:pPr>
        <w:spacing w:after="120"/>
      </w:pPr>
      <w:r>
        <w:t xml:space="preserve">The directors are not aware of any material event which occurred after the reporting date and up to the date of this report that would require adjustment to, or disclosure in, the annual financial statements, other than those disclosed in the notes.</w:t>
      </w:r>
    </w:p>
    <w:p>
      <w:pPr>
        <w:spacing w:after="40"/>
      </w:pPr>
      <w:r>
        <w:rPr>
          <w:b/>
          <w:sz w:val="20"/>
          <w:szCs w:val="20"/>
        </w:rPr>
        <w:t xml:space="preserve">5. Directors</w:t>
      </w:r>
    </w:p>
    <w:p>
      <w:pPr>
        <w:spacing w:after="120"/>
      </w:pPr>
      <w:r>
        <w:t xml:space="preserve">The directors in office at the date of this report are R. van der Merwe, L. Khumalo and P. Naidoo.</w:t>
      </w:r>
    </w:p>
    <w:p>
      <w:pPr>
        <w:spacing w:after="40"/>
      </w:pPr>
      <w:r>
        <w:rPr>
          <w:b/>
          <w:sz w:val="20"/>
          <w:szCs w:val="20"/>
        </w:rPr>
        <w:t xml:space="preserve">6. Company secretary</w:t>
      </w:r>
    </w:p>
    <w:p>
      <w:pPr>
        <w:spacing w:after="120"/>
      </w:pPr>
      <w:r>
        <w:t xml:space="preserve">The company secretary is T. Nkosi, and the registered office of the company is 18 Kyalami Boulevard, Midrand, 1685.</w:t>
      </w:r>
    </w:p>
    <w:p>
      <w:pPr>
        <w:spacing w:after="40"/>
      </w:pPr>
      <w:r>
        <w:rPr>
          <w:b/>
          <w:sz w:val="20"/>
          <w:szCs w:val="20"/>
        </w:rPr>
        <w:t xml:space="preserve">7. Auditors</w:t>
      </w:r>
    </w:p>
    <w:p>
      <w:pPr>
        <w:spacing w:after="120"/>
      </w:pPr>
      <w:r>
        <w:t xml:space="preserve">The company's auditors are Delport &amp; Associates Incorporated, Registered Auditors.</w:t>
      </w:r>
    </w:p>
    <w:p>
      <w:pPr>
        <w:pStyle w:val="Heading1"/>
        <w:spacing w:after="120"/>
      </w:pPr>
      <w:r>
        <w:rPr>
          <w:b/>
          <w:sz w:val="26"/>
          <w:szCs w:val="26"/>
        </w:rPr>
        <w:t xml:space="preserve">Independent Auditor's Report</w:t>
      </w:r>
    </w:p>
    <w:p>
      <w:pPr>
        <w:spacing w:after="120"/>
      </w:pPr>
      <w:r>
        <w:t xml:space="preserve">To the shareholders of Meridian Trading Solutions (Pty) Ltd</w:t>
      </w:r>
    </w:p>
    <w:p>
      <w:pPr>
        <w:spacing w:after="120"/>
      </w:pPr>
      <w:r>
        <w:t xml:space="preserve">The independent auditors of the company are Delport &amp; Associates Incorporated, Registered Auditors. Their report on these annual financial statements is addressed to the shareholders and will be issued upon completion of the audit engagement.</w:t>
      </w:r>
    </w:p>
    <w:p>
      <w:pPr>
        <w:spacing w:after="120"/>
      </w:pPr>
      <w:r>
        <w:t xml:space="preserve">Pending receipt of the signed auditor's report, this page is reserved for the independent auditor's report expressing an opinion on whether the annual financial statements present fairly, in all material respects, the financial position of the company as at the reporting date and its financial performance and cash flows for the year then ended, in accordance with the applicable financial reporting framework and the requirements of the Companies Act of South Africa.</w:t>
      </w:r>
    </w:p>
    <w:p>
      <w:pPr>
        <w:pStyle w:val="Heading1"/>
        <w:spacing w:after="120"/>
      </w:pPr>
      <w:r>
        <w:rPr>
          <w:b/>
          <w:sz w:val="26"/>
          <w:szCs w:val="26"/>
        </w:rPr>
        <w:t xml:space="preserve">Corporate Information</w:t>
      </w:r>
    </w:p>
    <w:p>
      <w:pPr>
        <w:spacing w:after="60"/>
      </w:pPr>
      <w:r>
        <w:rPr>
          <w:b/>
          <w:sz w:val="20"/>
          <w:szCs w:val="20"/>
        </w:rPr>
        <w:t xml:space="preserve">Entity Identity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name</w:t>
            </w:r>
          </w:p>
        </w:tc>
        <w:tc>
          <w:tcPr>
            <w:tcW w:w="1500" w:type="dxa"/>
            <w:shd w:val="clear" w:color="auto" w:fill="F2F2F2"/>
          </w:tcPr>
          <w:p>
            <w:pPr>
              <w:jc w:val="right"/>
              <w:spacing w:after="20"/>
            </w:pPr>
            <w:r>
              <w:rPr>
                <w:b/>
                <w:sz w:val="18"/>
                <w:szCs w:val="18"/>
              </w:rPr>
              <w:t xml:space="preserve">Meridian Trading Solutions (Pty) Ltd</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Registration number</w:t>
            </w:r>
          </w:p>
        </w:tc>
        <w:tc>
          <w:tcPr>
            <w:tcW w:w="1500" w:type="dxa"/>
            <w:shd w:val="clear" w:color="auto" w:fill="F2F2F2"/>
          </w:tcPr>
          <w:p>
            <w:pPr>
              <w:jc w:val="right"/>
              <w:spacing w:after="20"/>
            </w:pPr>
            <w:r>
              <w:rPr>
                <w:b/>
                <w:sz w:val="18"/>
                <w:szCs w:val="18"/>
              </w:rPr>
              <w:t xml:space="preserve">2016/348271/07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Trading name</w:t>
            </w:r>
          </w:p>
        </w:tc>
        <w:tc>
          <w:tcPr>
            <w:tcW w:w="1500" w:type="dxa"/>
            <w:shd w:val="clear" w:color="auto" w:fill="F2F2F2"/>
          </w:tcPr>
          <w:p>
            <w:pPr>
              <w:jc w:val="right"/>
              <w:spacing w:after="20"/>
            </w:pPr>
            <w:r>
              <w:rPr>
                <w:b/>
                <w:sz w:val="18"/>
                <w:szCs w:val="18"/>
              </w:rPr>
              <w:t xml:space="preserve">Meridian Trading</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Nature of business</w:t>
            </w:r>
          </w:p>
        </w:tc>
        <w:tc>
          <w:tcPr>
            <w:tcW w:w="1500" w:type="dxa"/>
            <w:shd w:val="clear" w:color="auto" w:fill="F2F2F2"/>
          </w:tcPr>
          <w:p>
            <w:pPr>
              <w:jc w:val="right"/>
              <w:spacing w:after="20"/>
            </w:pPr>
            <w:r>
              <w:rPr>
                <w:b/>
                <w:sz w:val="18"/>
                <w:szCs w:val="18"/>
              </w:rPr>
              <w:t xml:space="preserve">the wholesale distribution of industrial hardware and the provision of related logistics services</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framework</w:t>
            </w:r>
          </w:p>
        </w:tc>
        <w:tc>
          <w:tcPr>
            <w:tcW w:w="1500" w:type="dxa"/>
            <w:shd w:val="clear" w:color="auto" w:fill="F2F2F2"/>
          </w:tcPr>
          <w:p>
            <w:pPr>
              <w:jc w:val="right"/>
              <w:spacing w:after="20"/>
            </w:pPr>
            <w:r>
              <w:rPr>
                <w:b/>
                <w:sz w:val="18"/>
                <w:szCs w:val="18"/>
              </w:rPr>
              <w:t xml:space="preserve">IFRS for SMEs</w:t>
            </w:r>
          </w:p>
        </w:tc>
      </w:tr>
    </w:tbl>
    <w:p>
      <w:pPr>
        <w:spacing w:after="40"/>
      </w:pPr>
      <w:r>
        <w:t xml:space="preserve"/>
      </w:r>
    </w:p>
    <w:p>
      <w:pPr>
        <w:spacing w:after="120"/>
      </w:pPr>
      <w:r>
        <w:t xml:space="preserve"/>
      </w:r>
    </w:p>
    <w:p>
      <w:pPr>
        <w:spacing w:after="60"/>
      </w:pPr>
      <w:r>
        <w:rPr>
          <w:b/>
          <w:sz w:val="20"/>
          <w:szCs w:val="20"/>
        </w:rPr>
        <w:t xml:space="preserve">Addresses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18 Kyalami Boulevard, Midrand, 1685</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18 Kyalami Boulevard, Midrand, 1685</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Postal address</w:t>
            </w:r>
          </w:p>
        </w:tc>
        <w:tc>
          <w:tcPr>
            <w:tcW w:w="1500" w:type="dxa"/>
            <w:shd w:val="clear" w:color="auto" w:fill="F2F2F2"/>
          </w:tcPr>
          <w:p>
            <w:pPr>
              <w:jc w:val="right"/>
              <w:spacing w:after="20"/>
            </w:pPr>
            <w:r>
              <w:rPr>
                <w:b/>
                <w:sz w:val="18"/>
                <w:szCs w:val="18"/>
              </w:rPr>
              <w:t xml:space="preserve">PO Box 41128, Halfway House, 1685</w:t>
            </w:r>
          </w:p>
        </w:tc>
      </w:tr>
    </w:tbl>
    <w:p>
      <w:pPr>
        <w:spacing w:after="40"/>
      </w:pPr>
      <w:r>
        <w:t xml:space="preserve"/>
      </w:r>
    </w:p>
    <w:p>
      <w:pPr>
        <w:spacing w:after="120"/>
      </w:pPr>
      <w:r>
        <w:t xml:space="preserve"/>
      </w:r>
    </w:p>
    <w:p>
      <w:pPr>
        <w:spacing w:after="60"/>
      </w:pPr>
      <w:r>
        <w:rPr>
          <w:b/>
          <w:sz w:val="20"/>
          <w:szCs w:val="20"/>
        </w:rPr>
        <w:t xml:space="preserve">Governance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T. Nkosi</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Auditor</w:t>
            </w:r>
          </w:p>
        </w:tc>
        <w:tc>
          <w:tcPr>
            <w:tcW w:w="1500" w:type="dxa"/>
            <w:shd w:val="clear" w:color="auto" w:fill="F2F2F2"/>
          </w:tcPr>
          <w:p>
            <w:pPr>
              <w:jc w:val="right"/>
              <w:spacing w:after="20"/>
            </w:pPr>
            <w:r>
              <w:rPr>
                <w:b/>
                <w:sz w:val="18"/>
                <w:szCs w:val="18"/>
              </w:rPr>
              <w:t xml:space="preserve">Delport &amp; Associates Incorporated, Registered Auditors</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Preparer</w:t>
            </w:r>
          </w:p>
        </w:tc>
        <w:tc>
          <w:tcPr>
            <w:tcW w:w="1500" w:type="dxa"/>
            <w:shd w:val="clear" w:color="auto" w:fill="F2F2F2"/>
          </w:tcPr>
          <w:p>
            <w:pPr>
              <w:jc w:val="right"/>
              <w:spacing w:after="20"/>
            </w:pPr>
            <w:r>
              <w:rPr>
                <w:b/>
                <w:sz w:val="18"/>
                <w:szCs w:val="18"/>
              </w:rPr>
              <w:t xml:space="preserve">A. Petersen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Reviewer</w:t>
            </w:r>
          </w:p>
        </w:tc>
        <w:tc>
          <w:tcPr>
            <w:tcW w:w="1500" w:type="dxa"/>
            <w:shd w:val="clear" w:color="auto" w:fill="F2F2F2"/>
          </w:tcPr>
          <w:p>
            <w:pPr>
              <w:jc w:val="right"/>
              <w:spacing w:after="20"/>
            </w:pPr>
            <w:r>
              <w:rPr>
                <w:b/>
                <w:sz w:val="18"/>
                <w:szCs w:val="18"/>
              </w:rPr>
              <w:t xml:space="preserve">S. Moloi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Partner</w:t>
            </w:r>
          </w:p>
        </w:tc>
        <w:tc>
          <w:tcPr>
            <w:tcW w:w="1500" w:type="dxa"/>
            <w:shd w:val="clear" w:color="auto" w:fill="F2F2F2"/>
          </w:tcPr>
          <w:p>
            <w:pPr>
              <w:jc w:val="right"/>
              <w:spacing w:after="20"/>
            </w:pPr>
            <w:r>
              <w:rPr>
                <w:b/>
                <w:sz w:val="18"/>
                <w:szCs w:val="18"/>
              </w:rPr>
              <w:t xml:space="preserve">R. van der Merwe</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Authorised representative</w:t>
            </w:r>
          </w:p>
        </w:tc>
        <w:tc>
          <w:tcPr>
            <w:tcW w:w="1500" w:type="dxa"/>
            <w:shd w:val="clear" w:color="auto" w:fill="F2F2F2"/>
          </w:tcPr>
          <w:p>
            <w:pPr>
              <w:jc w:val="right"/>
              <w:spacing w:after="20"/>
            </w:pPr>
            <w:r>
              <w:rPr>
                <w:b/>
                <w:sz w:val="18"/>
                <w:szCs w:val="18"/>
              </w:rPr>
              <w:t xml:space="preserve">T. Nkosi</w:t>
            </w:r>
          </w:p>
        </w:tc>
      </w:tr>
    </w:tbl>
    <w:p>
      <w:pPr>
        <w:spacing w:after="40"/>
      </w:pPr>
      <w:r>
        <w:t xml:space="preserve"/>
      </w:r>
    </w:p>
    <w:p>
      <w:pPr>
        <w:spacing w:after="120"/>
      </w:pPr>
      <w:r>
        <w:t xml:space="preserve"/>
      </w:r>
    </w:p>
    <w:p>
      <w:pPr>
        <w:spacing w:after="60"/>
      </w:pPr>
      <w:r>
        <w:rPr>
          <w:b/>
          <w:sz w:val="20"/>
          <w:szCs w:val="20"/>
        </w:rPr>
        <w:t xml:space="preserve">Directors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R. van der Merwe (Managing Director)
L. Khumalo (Financial Director)
P. Naidoo (Non-executive Director)</w:t>
            </w:r>
          </w:p>
        </w:tc>
      </w:tr>
    </w:tbl>
    <w:p>
      <w:pPr>
        <w:spacing w:after="40"/>
      </w:pPr>
      <w:r>
        <w:t xml:space="preserve"/>
      </w:r>
    </w:p>
    <w:p>
      <w:pPr>
        <w:spacing w:after="120"/>
      </w:pPr>
      <w:r>
        <w:t xml:space="preserve"/>
      </w:r>
    </w:p>
    <w:p>
      <w:pPr>
        <w:spacing w:after="60"/>
      </w:pPr>
      <w:r>
        <w:rPr>
          <w:b/>
          <w:sz w:val="20"/>
          <w:szCs w:val="20"/>
        </w:rPr>
        <w:t xml:space="preserve">Principal Bankers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Principal bankers</w:t>
            </w:r>
          </w:p>
        </w:tc>
        <w:tc>
          <w:tcPr>
            <w:tcW w:w="1500" w:type="dxa"/>
            <w:shd w:val="clear" w:color="auto" w:fill="F2F2F2"/>
          </w:tcPr>
          <w:p>
            <w:pPr>
              <w:jc w:val="right"/>
              <w:spacing w:after="20"/>
            </w:pPr>
            <w:r>
              <w:rPr>
                <w:b/>
                <w:sz w:val="18"/>
                <w:szCs w:val="18"/>
              </w:rPr>
              <w:t xml:space="preserve">First National Bank, Midrand</w:t>
            </w:r>
          </w:p>
        </w:tc>
      </w:tr>
    </w:tbl>
    <w:p>
      <w:pPr>
        <w:spacing w:after="40"/>
      </w:pPr>
      <w:r>
        <w:t xml:space="preserve"/>
      </w:r>
    </w:p>
    <w:p>
      <w:pPr>
        <w:spacing w:after="120"/>
      </w:pPr>
      <w:r>
        <w:t xml:space="preserve"/>
      </w:r>
    </w:p>
    <w:p>
      <w:pPr>
        <w:spacing w:after="60"/>
      </w:pPr>
      <w:r>
        <w:rPr>
          <w:b/>
          <w:sz w:val="20"/>
          <w:szCs w:val="20"/>
        </w:rPr>
        <w:t xml:space="preserve">Tax Registrations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Tax registrations</w:t>
            </w:r>
          </w:p>
        </w:tc>
        <w:tc>
          <w:tcPr>
            <w:tcW w:w="1500" w:type="dxa"/>
            <w:shd w:val="clear" w:color="auto" w:fill="F2F2F2"/>
          </w:tcPr>
          <w:p>
            <w:pPr>
              <w:jc w:val="right"/>
              <w:spacing w:after="20"/>
            </w:pPr>
            <w:r>
              <w:rPr>
                <w:b/>
                <w:sz w:val="18"/>
                <w:szCs w:val="18"/>
              </w:rPr>
              <w:t xml:space="preserve">VAT Number: 4820318456
Income Tax Number: 9218347160</w:t>
            </w:r>
          </w:p>
        </w:tc>
      </w:tr>
    </w:tbl>
    <w:p>
      <w:pPr>
        <w:spacing w:after="40"/>
      </w:pPr>
      <w:r>
        <w:t xml:space="preserve"/>
      </w:r>
    </w:p>
    <w:p>
      <w:pPr>
        <w:spacing w:after="120"/>
      </w:pPr>
      <w:r>
        <w:t xml:space="preserve"/>
      </w:r>
    </w:p>
    <w:p>
      <w:pPr>
        <w:spacing w:after="60"/>
      </w:pPr>
      <w:r>
        <w:rPr>
          <w:b/>
          <w:sz w:val="20"/>
          <w:szCs w:val="20"/>
        </w:rPr>
        <w:t xml:space="preserve">Engagement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period</w:t>
            </w:r>
          </w:p>
        </w:tc>
        <w:tc>
          <w:tcPr>
            <w:tcW w:w="1500" w:type="dxa"/>
            <w:shd w:val="clear" w:color="auto" w:fill="F2F2F2"/>
          </w:tcPr>
          <w:p>
            <w:pPr>
              <w:jc w:val="right"/>
              <w:spacing w:after="20"/>
            </w:pPr>
            <w:r>
              <w:rPr>
                <w:b/>
                <w:sz w:val="18"/>
                <w:szCs w:val="18"/>
              </w:rPr>
              <w:t xml:space="preserve">Year ended 31 March 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Functional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Independent Audit</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Prepared by</w:t>
            </w:r>
          </w:p>
        </w:tc>
        <w:tc>
          <w:tcPr>
            <w:tcW w:w="1500" w:type="dxa"/>
            <w:shd w:val="clear" w:color="auto" w:fill="F2F2F2"/>
          </w:tcPr>
          <w:p>
            <w:pPr>
              <w:jc w:val="right"/>
              <w:spacing w:after="20"/>
            </w:pPr>
            <w:r>
              <w:rPr>
                <w:b/>
                <w:sz w:val="18"/>
                <w:szCs w:val="18"/>
              </w:rPr>
              <w:t xml:space="preserve">A. Petersen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Reviewed by</w:t>
            </w:r>
          </w:p>
        </w:tc>
        <w:tc>
          <w:tcPr>
            <w:tcW w:w="1500" w:type="dxa"/>
            <w:shd w:val="clear" w:color="auto" w:fill="F2F2F2"/>
          </w:tcPr>
          <w:p>
            <w:pPr>
              <w:jc w:val="right"/>
              <w:spacing w:after="20"/>
            </w:pPr>
            <w:r>
              <w:rPr>
                <w:b/>
                <w:sz w:val="18"/>
                <w:szCs w:val="18"/>
              </w:rPr>
              <w:t xml:space="preserve">S. Moloi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Partner</w:t>
            </w:r>
          </w:p>
        </w:tc>
        <w:tc>
          <w:tcPr>
            <w:tcW w:w="1500" w:type="dxa"/>
            <w:shd w:val="clear" w:color="auto" w:fill="F2F2F2"/>
          </w:tcPr>
          <w:p>
            <w:pPr>
              <w:jc w:val="right"/>
              <w:spacing w:after="20"/>
            </w:pPr>
            <w:r>
              <w:rPr>
                <w:b/>
                <w:sz w:val="18"/>
                <w:szCs w:val="18"/>
              </w:rPr>
              <w:t xml:space="preserve">R. van der Merwe</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Approval date</w:t>
            </w:r>
          </w:p>
        </w:tc>
        <w:tc>
          <w:tcPr>
            <w:tcW w:w="1500" w:type="dxa"/>
            <w:shd w:val="clear" w:color="auto" w:fill="F2F2F2"/>
          </w:tcPr>
          <w:p>
            <w:pPr>
              <w:jc w:val="right"/>
              <w:spacing w:after="20"/>
            </w:pPr>
            <w:r>
              <w:rPr>
                <w:b/>
                <w:sz w:val="18"/>
                <w:szCs w:val="18"/>
              </w:rPr>
              <w:t xml:space="preserve">24 June 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Authorisation date</w:t>
            </w:r>
          </w:p>
        </w:tc>
        <w:tc>
          <w:tcPr>
            <w:tcW w:w="1500" w:type="dxa"/>
            <w:shd w:val="clear" w:color="auto" w:fill="F2F2F2"/>
          </w:tcPr>
          <w:p>
            <w:pPr>
              <w:jc w:val="right"/>
              <w:spacing w:after="20"/>
            </w:pPr>
            <w:r>
              <w:rPr>
                <w:b/>
                <w:sz w:val="18"/>
                <w:szCs w:val="18"/>
              </w:rPr>
              <w:t xml:space="preserve">24 June 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Issue date</w:t>
            </w:r>
          </w:p>
        </w:tc>
        <w:tc>
          <w:tcPr>
            <w:tcW w:w="1500" w:type="dxa"/>
            <w:shd w:val="clear" w:color="auto" w:fill="F2F2F2"/>
          </w:tcPr>
          <w:p>
            <w:pPr>
              <w:jc w:val="right"/>
              <w:spacing w:after="20"/>
            </w:pPr>
            <w:r>
              <w:rPr>
                <w:b/>
                <w:sz w:val="18"/>
                <w:szCs w:val="18"/>
              </w:rPr>
              <w:t xml:space="preserve">24 June 2026</w:t>
            </w:r>
          </w:p>
        </w:tc>
      </w:tr>
    </w:tbl>
    <w:p>
      <w:pPr>
        <w:spacing w:after="40"/>
      </w:pPr>
      <w:r>
        <w:t xml:space="preserve"/>
      </w:r>
    </w:p>
    <w:p>
      <w:pPr>
        <w:pStyle w:val="Heading1"/>
        <w:spacing w:after="120"/>
      </w:pPr>
      <w:r>
        <w:rPr>
          <w:b/>
          <w:sz w:val="24"/>
          <w:szCs w:val="24"/>
        </w:rPr>
        <w:t xml:space="preserve">Statement of Financial Position</w:t>
      </w:r>
    </w:p>
    <w:p>
      <w:pPr>
        <w:spacing w:after="40"/>
      </w:pPr>
      <w:r>
        <w:rPr>
          <w:i/>
          <w:color w:val="595959"/>
        </w:rPr>
        <w:t xml:space="preserve">As at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4526"/>
        <w:gridCol w:w="1500"/>
        <w:gridCol w:w="1500"/>
        <w:gridCol w:w="1500"/>
      </w:tblGrid>
      <w:tr>
        <w:trPr>
          <w:tblHeader/>
        </w:trPr>
        <w:tc>
          <w:tcPr>
            <w:tcW w:w="45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2025 R</w:t>
            </w:r>
          </w:p>
        </w:tc>
        <w:tc>
          <w:tcPr>
            <w:tcW w:w="1500" w:type="dxa"/>
            <w:shd w:val="clear" w:color="auto" w:fill="F2F2F2"/>
          </w:tcPr>
          <w:p>
            <w:pPr>
              <w:jc w:val="right"/>
              <w:spacing w:after="20"/>
            </w:pPr>
            <w:r>
              <w:rPr>
                <w:b/>
                <w:sz w:val="18"/>
                <w:szCs w:val="18"/>
              </w:rPr>
              <w:t xml:space="preserve">2026 R</w:t>
            </w:r>
          </w:p>
        </w:tc>
      </w:tr>
      <w:tr>
        <w:tc>
          <w:tcPr>
            <w:tcW w:w="4526" w:type="dxa"/>
          </w:tcPr>
          <w:p>
            <w:pPr>
              <w:jc w:val="left"/>
              <w:spacing w:after="20"/>
            </w:pPr>
            <w:r>
              <w:rPr>
                <w:b/>
                <w:sz w:val="18"/>
                <w:szCs w:val="18"/>
              </w:rPr>
              <w:t xml:space="preserve">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4526" w:type="dxa"/>
          </w:tcPr>
          <w:p>
            <w:pPr>
              <w:jc w:val="left"/>
              <w:spacing w:after="20"/>
            </w:pPr>
            <w:r>
              <w:rPr>
                <w:sz w:val="18"/>
                <w:szCs w:val="18"/>
              </w:rPr>
              <w:t xml:space="preserve">Non-current assets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4526" w:type="dxa"/>
          </w:tcPr>
          <w:p>
            <w:pPr>
              <w:jc w:val="left"/>
              <w:spacing w:after="20"/>
            </w:pPr>
            <w:r>
              <w:rPr>
                <w:sz w:val="18"/>
                <w:szCs w:val="18"/>
              </w:rPr>
              <w:t xml:space="preserve">Property, plant and equipment</w:t>
            </w:r>
          </w:p>
        </w:tc>
        <w:tc>
          <w:tcPr>
            <w:tcW w:w="1500" w:type="dxa"/>
          </w:tcPr>
          <w:p>
            <w:pPr>
              <w:jc w:val="left"/>
              <w:spacing w:after="20"/>
            </w:pPr>
            <w:r>
              <w:rPr>
                <w:sz w:val="18"/>
                <w:szCs w:val="18"/>
              </w:rPr>
              <w:t xml:space="preserve">5</w:t>
            </w:r>
          </w:p>
        </w:tc>
        <w:tc>
          <w:tcPr>
            <w:tcW w:w="1500" w:type="dxa"/>
          </w:tcPr>
          <w:p>
            <w:pPr>
              <w:jc w:val="right"/>
              <w:spacing w:after="20"/>
            </w:pPr>
            <w:r>
              <w:rPr>
                <w:sz w:val="18"/>
                <w:szCs w:val="18"/>
              </w:rPr>
              <w:t xml:space="preserve">3,684,200.00</w:t>
            </w:r>
          </w:p>
        </w:tc>
        <w:tc>
          <w:tcPr>
            <w:tcW w:w="1500" w:type="dxa"/>
          </w:tcPr>
          <w:p>
            <w:pPr>
              <w:jc w:val="right"/>
              <w:spacing w:after="20"/>
            </w:pPr>
            <w:r>
              <w:rPr>
                <w:sz w:val="18"/>
                <w:szCs w:val="18"/>
              </w:rPr>
              <w:t xml:space="preserve">4,218,650.00</w:t>
            </w:r>
          </w:p>
        </w:tc>
      </w:tr>
      <w:tr>
        <w:tc>
          <w:tcPr>
            <w:tcW w:w="4526" w:type="dxa"/>
          </w:tcPr>
          <w:p>
            <w:pPr>
              <w:jc w:val="left"/>
              <w:spacing w:after="20"/>
            </w:pPr>
            <w:r>
              <w:rPr>
                <w:sz w:val="18"/>
                <w:szCs w:val="18"/>
              </w:rPr>
              <w:t xml:space="preserve">Intangible assets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298,100.00</w:t>
            </w:r>
          </w:p>
        </w:tc>
        <w:tc>
          <w:tcPr>
            <w:tcW w:w="1500" w:type="dxa"/>
          </w:tcPr>
          <w:p>
            <w:pPr>
              <w:jc w:val="right"/>
              <w:spacing w:after="20"/>
            </w:pPr>
            <w:r>
              <w:rPr>
                <w:sz w:val="18"/>
                <w:szCs w:val="18"/>
              </w:rPr>
              <w:t xml:space="preserve">312,400.00</w:t>
            </w:r>
          </w:p>
        </w:tc>
      </w:tr>
      <w:tr>
        <w:tc>
          <w:tcPr>
            <w:tcW w:w="4526" w:type="dxa"/>
          </w:tcPr>
          <w:p>
            <w:pPr>
              <w:jc w:val="left"/>
              <w:spacing w:after="20"/>
            </w:pPr>
            <w:r>
              <w:rPr>
                <w:sz w:val="18"/>
                <w:szCs w:val="18"/>
              </w:rPr>
              <w:t xml:space="preserve">Deferred tax</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152,800.00</w:t>
            </w:r>
          </w:p>
        </w:tc>
        <w:tc>
          <w:tcPr>
            <w:tcW w:w="1500" w:type="dxa"/>
          </w:tcPr>
          <w:p>
            <w:pPr>
              <w:jc w:val="right"/>
              <w:spacing w:after="20"/>
            </w:pPr>
            <w:r>
              <w:rPr>
                <w:sz w:val="18"/>
                <w:szCs w:val="18"/>
              </w:rPr>
              <w:t xml:space="preserve">186,300.00</w:t>
            </w:r>
          </w:p>
        </w:tc>
      </w:tr>
      <w:tr>
        <w:tc>
          <w:tcPr>
            <w:tcW w:w="4526" w:type="dxa"/>
          </w:tcPr>
          <w:p>
            <w:pPr>
              <w:jc w:val="left"/>
              <w:spacing w:after="20"/>
            </w:pPr>
            <w:r>
              <w:rPr>
                <w:b/>
                <w:sz w:val="18"/>
                <w:szCs w:val="18"/>
              </w:rPr>
              <w:t xml:space="preserve">Total non-current 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4,135,100.00</w:t>
            </w:r>
          </w:p>
        </w:tc>
        <w:tc>
          <w:tcPr>
            <w:tcW w:w="1500" w:type="dxa"/>
          </w:tcPr>
          <w:p>
            <w:pPr>
              <w:jc w:val="right"/>
              <w:spacing w:after="20"/>
            </w:pPr>
            <w:r>
              <w:rPr>
                <w:b/>
                <w:sz w:val="18"/>
                <w:szCs w:val="18"/>
              </w:rPr>
              <w:t xml:space="preserve">4,717,350.00</w:t>
            </w:r>
          </w:p>
        </w:tc>
      </w:tr>
      <w:tr>
        <w:tc>
          <w:tcPr>
            <w:tcW w:w="4526" w:type="dxa"/>
          </w:tcPr>
          <w:p>
            <w:pPr>
              <w:jc w:val="left"/>
              <w:spacing w:after="20"/>
            </w:pPr>
            <w:r>
              <w:rPr>
                <w:sz w:val="18"/>
                <w:szCs w:val="18"/>
              </w:rPr>
              <w:t xml:space="preserve">Current assets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4526" w:type="dxa"/>
          </w:tcPr>
          <w:p>
            <w:pPr>
              <w:jc w:val="left"/>
              <w:spacing w:after="20"/>
            </w:pPr>
            <w:r>
              <w:rPr>
                <w:sz w:val="18"/>
                <w:szCs w:val="18"/>
              </w:rPr>
              <w:t xml:space="preserve">Inventories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2,510,800.00</w:t>
            </w:r>
          </w:p>
        </w:tc>
        <w:tc>
          <w:tcPr>
            <w:tcW w:w="1500" w:type="dxa"/>
          </w:tcPr>
          <w:p>
            <w:pPr>
              <w:jc w:val="right"/>
              <w:spacing w:after="20"/>
            </w:pPr>
            <w:r>
              <w:rPr>
                <w:sz w:val="18"/>
                <w:szCs w:val="18"/>
              </w:rPr>
              <w:t xml:space="preserve">2,864,100.00</w:t>
            </w:r>
          </w:p>
        </w:tc>
      </w:tr>
      <w:tr>
        <w:tc>
          <w:tcPr>
            <w:tcW w:w="4526" w:type="dxa"/>
          </w:tcPr>
          <w:p>
            <w:pPr>
              <w:jc w:val="left"/>
              <w:spacing w:after="20"/>
            </w:pPr>
            <w:r>
              <w:rPr>
                <w:sz w:val="18"/>
                <w:szCs w:val="18"/>
              </w:rPr>
              <w:t xml:space="preserve">Trade and other receivables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2,789,300.00</w:t>
            </w:r>
          </w:p>
        </w:tc>
        <w:tc>
          <w:tcPr>
            <w:tcW w:w="1500" w:type="dxa"/>
          </w:tcPr>
          <w:p>
            <w:pPr>
              <w:jc w:val="right"/>
              <w:spacing w:after="20"/>
            </w:pPr>
            <w:r>
              <w:rPr>
                <w:sz w:val="18"/>
                <w:szCs w:val="18"/>
              </w:rPr>
              <w:t xml:space="preserve">3,120,540.00</w:t>
            </w:r>
          </w:p>
        </w:tc>
      </w:tr>
      <w:tr>
        <w:tc>
          <w:tcPr>
            <w:tcW w:w="4526" w:type="dxa"/>
          </w:tcPr>
          <w:p>
            <w:pPr>
              <w:jc w:val="left"/>
              <w:spacing w:after="20"/>
            </w:pPr>
            <w:r>
              <w:rPr>
                <w:sz w:val="18"/>
                <w:szCs w:val="18"/>
              </w:rPr>
              <w:t xml:space="preserve">Cash and cash equivalents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1,119,520.00</w:t>
            </w:r>
          </w:p>
        </w:tc>
        <w:tc>
          <w:tcPr>
            <w:tcW w:w="1500" w:type="dxa"/>
          </w:tcPr>
          <w:p>
            <w:pPr>
              <w:jc w:val="right"/>
              <w:spacing w:after="20"/>
            </w:pPr>
            <w:r>
              <w:rPr>
                <w:sz w:val="18"/>
                <w:szCs w:val="18"/>
              </w:rPr>
              <w:t xml:space="preserve">1,458,920.00</w:t>
            </w:r>
          </w:p>
        </w:tc>
      </w:tr>
      <w:tr>
        <w:tc>
          <w:tcPr>
            <w:tcW w:w="4526" w:type="dxa"/>
          </w:tcPr>
          <w:p>
            <w:pPr>
              <w:jc w:val="left"/>
              <w:spacing w:after="20"/>
            </w:pPr>
            <w:r>
              <w:rPr>
                <w:b/>
                <w:sz w:val="18"/>
                <w:szCs w:val="18"/>
              </w:rPr>
              <w:t xml:space="preserve">Total current 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6,419,620.00</w:t>
            </w:r>
          </w:p>
        </w:tc>
        <w:tc>
          <w:tcPr>
            <w:tcW w:w="1500" w:type="dxa"/>
          </w:tcPr>
          <w:p>
            <w:pPr>
              <w:jc w:val="right"/>
              <w:spacing w:after="20"/>
            </w:pPr>
            <w:r>
              <w:rPr>
                <w:b/>
                <w:sz w:val="18"/>
                <w:szCs w:val="18"/>
              </w:rPr>
              <w:t xml:space="preserve">7,443,560.00</w:t>
            </w:r>
          </w:p>
        </w:tc>
      </w:tr>
      <w:tr>
        <w:tc>
          <w:tcPr>
            <w:tcW w:w="4526" w:type="dxa"/>
          </w:tcPr>
          <w:p>
            <w:pPr>
              <w:jc w:val="left"/>
              <w:spacing w:after="20"/>
            </w:pPr>
            <w:r>
              <w:rPr>
                <w:b/>
                <w:sz w:val="18"/>
                <w:szCs w:val="18"/>
              </w:rPr>
              <w:t xml:space="preserve">Total 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10,554,720.00</w:t>
            </w:r>
          </w:p>
        </w:tc>
        <w:tc>
          <w:tcPr>
            <w:tcW w:w="1500" w:type="dxa"/>
          </w:tcPr>
          <w:p>
            <w:pPr>
              <w:jc w:val="right"/>
              <w:spacing w:after="20"/>
            </w:pPr>
            <w:r>
              <w:rPr>
                <w:b/>
                <w:sz w:val="18"/>
                <w:szCs w:val="18"/>
              </w:rPr>
              <w:t xml:space="preserve">12,160,910.00</w:t>
            </w:r>
          </w:p>
        </w:tc>
      </w:tr>
      <w:tr>
        <w:tc>
          <w:tcPr>
            <w:tcW w:w="4526" w:type="dxa"/>
          </w:tcPr>
          <w:p>
            <w:pPr>
              <w:jc w:val="left"/>
              <w:spacing w:after="20"/>
            </w:pPr>
            <w:r>
              <w:rPr>
                <w:b/>
                <w:sz w:val="18"/>
                <w:szCs w:val="18"/>
              </w:rPr>
              <w:t xml:space="preserve">Equity and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4526" w:type="dxa"/>
          </w:tcPr>
          <w:p>
            <w:pPr>
              <w:jc w:val="left"/>
              <w:spacing w:after="20"/>
            </w:pPr>
            <w:r>
              <w:rPr>
                <w:sz w:val="18"/>
                <w:szCs w:val="18"/>
              </w:rPr>
              <w:t xml:space="preserve">Equity</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4526" w:type="dxa"/>
          </w:tcPr>
          <w:p>
            <w:pPr>
              <w:jc w:val="left"/>
              <w:spacing w:after="20"/>
            </w:pPr>
            <w:r>
              <w:rPr>
                <w:sz w:val="18"/>
                <w:szCs w:val="18"/>
              </w:rPr>
              <w:t xml:space="preserve">Share capital</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100,000.00</w:t>
            </w:r>
          </w:p>
        </w:tc>
        <w:tc>
          <w:tcPr>
            <w:tcW w:w="1500" w:type="dxa"/>
          </w:tcPr>
          <w:p>
            <w:pPr>
              <w:jc w:val="right"/>
              <w:spacing w:after="20"/>
            </w:pPr>
            <w:r>
              <w:rPr>
                <w:sz w:val="18"/>
                <w:szCs w:val="18"/>
              </w:rPr>
              <w:t xml:space="preserve">100,000.00</w:t>
            </w:r>
          </w:p>
        </w:tc>
      </w:tr>
      <w:tr>
        <w:tc>
          <w:tcPr>
            <w:tcW w:w="4526" w:type="dxa"/>
          </w:tcPr>
          <w:p>
            <w:pPr>
              <w:jc w:val="left"/>
              <w:spacing w:after="20"/>
            </w:pPr>
            <w:r>
              <w:rPr>
                <w:sz w:val="18"/>
                <w:szCs w:val="18"/>
              </w:rPr>
              <w:t xml:space="preserve">Retained earnings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5,180,705.00</w:t>
            </w:r>
          </w:p>
        </w:tc>
        <w:tc>
          <w:tcPr>
            <w:tcW w:w="1500" w:type="dxa"/>
          </w:tcPr>
          <w:p>
            <w:pPr>
              <w:jc w:val="right"/>
              <w:spacing w:after="20"/>
            </w:pPr>
            <w:r>
              <w:rPr>
                <w:sz w:val="18"/>
                <w:szCs w:val="18"/>
              </w:rPr>
              <w:t xml:space="preserve">6,842,910.00</w:t>
            </w:r>
          </w:p>
        </w:tc>
      </w:tr>
      <w:tr>
        <w:tc>
          <w:tcPr>
            <w:tcW w:w="4526" w:type="dxa"/>
          </w:tcPr>
          <w:p>
            <w:pPr>
              <w:jc w:val="left"/>
              <w:spacing w:after="20"/>
            </w:pPr>
            <w:r>
              <w:rPr>
                <w:b/>
                <w:sz w:val="18"/>
                <w:szCs w:val="18"/>
              </w:rPr>
              <w:t xml:space="preserve">Total equity</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5,280,705.00</w:t>
            </w:r>
          </w:p>
        </w:tc>
        <w:tc>
          <w:tcPr>
            <w:tcW w:w="1500" w:type="dxa"/>
          </w:tcPr>
          <w:p>
            <w:pPr>
              <w:jc w:val="right"/>
              <w:spacing w:after="20"/>
            </w:pPr>
            <w:r>
              <w:rPr>
                <w:b/>
                <w:sz w:val="18"/>
                <w:szCs w:val="18"/>
              </w:rPr>
              <w:t xml:space="preserve">6,942,910.00</w:t>
            </w:r>
          </w:p>
        </w:tc>
      </w:tr>
      <w:tr>
        <w:tc>
          <w:tcPr>
            <w:tcW w:w="4526" w:type="dxa"/>
          </w:tcPr>
          <w:p>
            <w:pPr>
              <w:jc w:val="left"/>
              <w:spacing w:after="20"/>
            </w:pPr>
            <w:r>
              <w:rPr>
                <w:sz w:val="18"/>
                <w:szCs w:val="18"/>
              </w:rPr>
              <w:t xml:space="preserve">Non-current liabilities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4526" w:type="dxa"/>
          </w:tcPr>
          <w:p>
            <w:pPr>
              <w:jc w:val="left"/>
              <w:spacing w:after="20"/>
            </w:pPr>
            <w:r>
              <w:rPr>
                <w:sz w:val="18"/>
                <w:szCs w:val="18"/>
              </w:rPr>
              <w:t xml:space="preserve">Borrowings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1,980,000.00</w:t>
            </w:r>
          </w:p>
        </w:tc>
        <w:tc>
          <w:tcPr>
            <w:tcW w:w="1500" w:type="dxa"/>
          </w:tcPr>
          <w:p>
            <w:pPr>
              <w:jc w:val="right"/>
              <w:spacing w:after="20"/>
            </w:pPr>
            <w:r>
              <w:rPr>
                <w:sz w:val="18"/>
                <w:szCs w:val="18"/>
              </w:rPr>
              <w:t xml:space="preserve">1,650,000.00</w:t>
            </w:r>
          </w:p>
        </w:tc>
      </w:tr>
      <w:tr>
        <w:tc>
          <w:tcPr>
            <w:tcW w:w="4526" w:type="dxa"/>
          </w:tcPr>
          <w:p>
            <w:pPr>
              <w:jc w:val="left"/>
              <w:spacing w:after="20"/>
            </w:pPr>
            <w:r>
              <w:rPr>
                <w:b/>
                <w:sz w:val="18"/>
                <w:szCs w:val="18"/>
              </w:rPr>
              <w:t xml:space="preserve">Total non-current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1,980,000.00</w:t>
            </w:r>
          </w:p>
        </w:tc>
        <w:tc>
          <w:tcPr>
            <w:tcW w:w="1500" w:type="dxa"/>
          </w:tcPr>
          <w:p>
            <w:pPr>
              <w:jc w:val="right"/>
              <w:spacing w:after="20"/>
            </w:pPr>
            <w:r>
              <w:rPr>
                <w:b/>
                <w:sz w:val="18"/>
                <w:szCs w:val="18"/>
              </w:rPr>
              <w:t xml:space="preserve">1,650,000.00</w:t>
            </w:r>
          </w:p>
        </w:tc>
      </w:tr>
      <w:tr>
        <w:tc>
          <w:tcPr>
            <w:tcW w:w="4526" w:type="dxa"/>
          </w:tcPr>
          <w:p>
            <w:pPr>
              <w:jc w:val="left"/>
              <w:spacing w:after="20"/>
            </w:pPr>
            <w:r>
              <w:rPr>
                <w:sz w:val="18"/>
                <w:szCs w:val="18"/>
              </w:rPr>
              <w:t xml:space="preserve">Current liabilities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4526" w:type="dxa"/>
          </w:tcPr>
          <w:p>
            <w:pPr>
              <w:jc w:val="left"/>
              <w:spacing w:after="20"/>
            </w:pPr>
            <w:r>
              <w:rPr>
                <w:sz w:val="18"/>
                <w:szCs w:val="18"/>
              </w:rPr>
              <w:t xml:space="preserve">Trade and other payables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2,642,015.00</w:t>
            </w:r>
          </w:p>
        </w:tc>
        <w:tc>
          <w:tcPr>
            <w:tcW w:w="1500" w:type="dxa"/>
          </w:tcPr>
          <w:p>
            <w:pPr>
              <w:jc w:val="right"/>
              <w:spacing w:after="20"/>
            </w:pPr>
            <w:r>
              <w:rPr>
                <w:sz w:val="18"/>
                <w:szCs w:val="18"/>
              </w:rPr>
              <w:t xml:space="preserve">2,918,000.00</w:t>
            </w:r>
          </w:p>
        </w:tc>
      </w:tr>
      <w:tr>
        <w:tc>
          <w:tcPr>
            <w:tcW w:w="4526" w:type="dxa"/>
          </w:tcPr>
          <w:p>
            <w:pPr>
              <w:jc w:val="left"/>
              <w:spacing w:after="20"/>
            </w:pPr>
            <w:r>
              <w:rPr>
                <w:sz w:val="18"/>
                <w:szCs w:val="18"/>
              </w:rPr>
              <w:t xml:space="preserve">Current portion of borrowings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520,000.00</w:t>
            </w:r>
          </w:p>
        </w:tc>
        <w:tc>
          <w:tcPr>
            <w:tcW w:w="1500" w:type="dxa"/>
          </w:tcPr>
          <w:p>
            <w:pPr>
              <w:jc w:val="right"/>
              <w:spacing w:after="20"/>
            </w:pPr>
            <w:r>
              <w:rPr>
                <w:sz w:val="18"/>
                <w:szCs w:val="18"/>
              </w:rPr>
              <w:t xml:space="preserve">550,000.00</w:t>
            </w:r>
          </w:p>
        </w:tc>
      </w:tr>
      <w:tr>
        <w:tc>
          <w:tcPr>
            <w:tcW w:w="4526" w:type="dxa"/>
          </w:tcPr>
          <w:p>
            <w:pPr>
              <w:jc w:val="left"/>
              <w:spacing w:after="20"/>
            </w:pPr>
            <w:r>
              <w:rPr>
                <w:sz w:val="18"/>
                <w:szCs w:val="18"/>
              </w:rPr>
              <w:t xml:space="preserve">Current tax payable</w:t>
            </w:r>
          </w:p>
        </w:tc>
        <w:tc>
          <w:tcPr>
            <w:tcW w:w="1500" w:type="dxa"/>
          </w:tcPr>
          <w:p>
            <w:pPr>
              <w:jc w:val="left"/>
              <w:spacing w:after="20"/>
            </w:pPr>
            <w:r>
              <w:rPr>
                <w:sz w:val="18"/>
                <w:szCs w:val="18"/>
              </w:rPr>
              <w:t xml:space="preserve">6</w:t>
            </w:r>
          </w:p>
        </w:tc>
        <w:tc>
          <w:tcPr>
            <w:tcW w:w="1500" w:type="dxa"/>
          </w:tcPr>
          <w:p>
            <w:pPr>
              <w:jc w:val="right"/>
              <w:spacing w:after="20"/>
            </w:pPr>
            <w:r>
              <w:rPr>
                <w:sz w:val="18"/>
                <w:szCs w:val="18"/>
              </w:rPr>
              <w:t xml:space="preserve">132,000.00</w:t>
            </w:r>
          </w:p>
        </w:tc>
        <w:tc>
          <w:tcPr>
            <w:tcW w:w="1500" w:type="dxa"/>
          </w:tcPr>
          <w:p>
            <w:pPr>
              <w:jc w:val="right"/>
              <w:spacing w:after="20"/>
            </w:pPr>
            <w:r>
              <w:rPr>
                <w:sz w:val="18"/>
                <w:szCs w:val="18"/>
              </w:rPr>
              <w:t xml:space="preserve">100,000.00</w:t>
            </w:r>
          </w:p>
        </w:tc>
      </w:tr>
      <w:tr>
        <w:tc>
          <w:tcPr>
            <w:tcW w:w="4526" w:type="dxa"/>
          </w:tcPr>
          <w:p>
            <w:pPr>
              <w:jc w:val="left"/>
              <w:spacing w:after="20"/>
            </w:pPr>
            <w:r>
              <w:rPr>
                <w:b/>
                <w:sz w:val="18"/>
                <w:szCs w:val="18"/>
              </w:rPr>
              <w:t xml:space="preserve">Total current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3,294,015.00</w:t>
            </w:r>
          </w:p>
        </w:tc>
        <w:tc>
          <w:tcPr>
            <w:tcW w:w="1500" w:type="dxa"/>
          </w:tcPr>
          <w:p>
            <w:pPr>
              <w:jc w:val="right"/>
              <w:spacing w:after="20"/>
            </w:pPr>
            <w:r>
              <w:rPr>
                <w:b/>
                <w:sz w:val="18"/>
                <w:szCs w:val="18"/>
              </w:rPr>
              <w:t xml:space="preserve">3,568,000.00</w:t>
            </w:r>
          </w:p>
        </w:tc>
      </w:tr>
      <w:tr>
        <w:tc>
          <w:tcPr>
            <w:tcW w:w="4526" w:type="dxa"/>
          </w:tcPr>
          <w:p>
            <w:pPr>
              <w:jc w:val="left"/>
              <w:spacing w:after="20"/>
            </w:pPr>
            <w:r>
              <w:rPr>
                <w:b/>
                <w:sz w:val="18"/>
                <w:szCs w:val="18"/>
              </w:rPr>
              <w:t xml:space="preserve">Total equity and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10,554,720.00</w:t>
            </w:r>
          </w:p>
        </w:tc>
        <w:tc>
          <w:tcPr>
            <w:tcW w:w="1500" w:type="dxa"/>
          </w:tcPr>
          <w:p>
            <w:pPr>
              <w:jc w:val="right"/>
              <w:spacing w:after="20"/>
            </w:pPr>
            <w:r>
              <w:rPr>
                <w:b/>
                <w:sz w:val="18"/>
                <w:szCs w:val="18"/>
              </w:rPr>
              <w:t xml:space="preserve">12,160,910.00</w:t>
            </w:r>
          </w:p>
        </w:tc>
      </w:tr>
    </w:tbl>
    <w:p>
      <w:pPr>
        <w:spacing w:after="60"/>
      </w:pPr>
      <w:r>
        <w:t xml:space="preserve"/>
      </w:r>
    </w:p>
    <w:p>
      <w:pPr>
        <w:pStyle w:val="Heading1"/>
        <w:spacing w:after="120"/>
      </w:pPr>
      <w:r>
        <w:rPr>
          <w:b/>
          <w:sz w:val="24"/>
          <w:szCs w:val="24"/>
        </w:rPr>
        <w:t xml:space="preserve">Statement of Profit or Loss and Other Comprehensive Income</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4526"/>
        <w:gridCol w:w="1500"/>
        <w:gridCol w:w="1500"/>
        <w:gridCol w:w="1500"/>
      </w:tblGrid>
      <w:tr>
        <w:trPr>
          <w:tblHeader/>
        </w:trPr>
        <w:tc>
          <w:tcPr>
            <w:tcW w:w="45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2025 R</w:t>
            </w:r>
          </w:p>
        </w:tc>
        <w:tc>
          <w:tcPr>
            <w:tcW w:w="1500" w:type="dxa"/>
            <w:shd w:val="clear" w:color="auto" w:fill="F2F2F2"/>
          </w:tcPr>
          <w:p>
            <w:pPr>
              <w:jc w:val="right"/>
              <w:spacing w:after="20"/>
            </w:pPr>
            <w:r>
              <w:rPr>
                <w:b/>
                <w:sz w:val="18"/>
                <w:szCs w:val="18"/>
              </w:rPr>
              <w:t xml:space="preserve">2026 R</w:t>
            </w:r>
          </w:p>
        </w:tc>
      </w:tr>
      <w:tr>
        <w:tc>
          <w:tcPr>
            <w:tcW w:w="4526" w:type="dxa"/>
          </w:tcPr>
          <w:p>
            <w:pPr>
              <w:jc w:val="left"/>
              <w:spacing w:after="20"/>
            </w:pPr>
            <w:r>
              <w:rPr>
                <w:sz w:val="18"/>
                <w:szCs w:val="18"/>
              </w:rPr>
              <w:t xml:space="preserve">Revenue</w:t>
            </w:r>
          </w:p>
        </w:tc>
        <w:tc>
          <w:tcPr>
            <w:tcW w:w="1500" w:type="dxa"/>
          </w:tcPr>
          <w:p>
            <w:pPr>
              <w:jc w:val="left"/>
              <w:spacing w:after="20"/>
            </w:pPr>
            <w:r>
              <w:rPr>
                <w:sz w:val="18"/>
                <w:szCs w:val="18"/>
              </w:rPr>
              <w:t xml:space="preserve">4</w:t>
            </w:r>
          </w:p>
        </w:tc>
        <w:tc>
          <w:tcPr>
            <w:tcW w:w="1500" w:type="dxa"/>
          </w:tcPr>
          <w:p>
            <w:pPr>
              <w:jc w:val="right"/>
              <w:spacing w:after="20"/>
            </w:pPr>
            <w:r>
              <w:rPr>
                <w:sz w:val="18"/>
                <w:szCs w:val="18"/>
              </w:rPr>
              <w:t xml:space="preserve">25,128,400.00</w:t>
            </w:r>
          </w:p>
        </w:tc>
        <w:tc>
          <w:tcPr>
            <w:tcW w:w="1500" w:type="dxa"/>
          </w:tcPr>
          <w:p>
            <w:pPr>
              <w:jc w:val="right"/>
              <w:spacing w:after="20"/>
            </w:pPr>
            <w:r>
              <w:rPr>
                <w:sz w:val="18"/>
                <w:szCs w:val="18"/>
              </w:rPr>
              <w:t xml:space="preserve">28,450,300.00</w:t>
            </w:r>
          </w:p>
        </w:tc>
      </w:tr>
      <w:tr>
        <w:tc>
          <w:tcPr>
            <w:tcW w:w="4526" w:type="dxa"/>
          </w:tcPr>
          <w:p>
            <w:pPr>
              <w:jc w:val="left"/>
              <w:spacing w:after="20"/>
            </w:pPr>
            <w:r>
              <w:rPr>
                <w:sz w:val="18"/>
                <w:szCs w:val="18"/>
              </w:rPr>
              <w:t xml:space="preserve">Cost of sales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(16,981,200.00)</w:t>
            </w:r>
          </w:p>
        </w:tc>
        <w:tc>
          <w:tcPr>
            <w:tcW w:w="1500" w:type="dxa"/>
          </w:tcPr>
          <w:p>
            <w:pPr>
              <w:jc w:val="right"/>
              <w:spacing w:after="20"/>
            </w:pPr>
            <w:r>
              <w:rPr>
                <w:sz w:val="18"/>
                <w:szCs w:val="18"/>
              </w:rPr>
              <w:t xml:space="preserve">(19,122,400.00)</w:t>
            </w:r>
          </w:p>
        </w:tc>
      </w:tr>
      <w:tr>
        <w:tc>
          <w:tcPr>
            <w:tcW w:w="4526" w:type="dxa"/>
          </w:tcPr>
          <w:p>
            <w:pPr>
              <w:jc w:val="left"/>
              <w:spacing w:after="20"/>
            </w:pPr>
            <w:r>
              <w:rPr>
                <w:b/>
                <w:sz w:val="18"/>
                <w:szCs w:val="18"/>
              </w:rPr>
              <w:t xml:space="preserve">Gross profit</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8,147,200.00</w:t>
            </w:r>
          </w:p>
        </w:tc>
        <w:tc>
          <w:tcPr>
            <w:tcW w:w="1500" w:type="dxa"/>
          </w:tcPr>
          <w:p>
            <w:pPr>
              <w:jc w:val="right"/>
              <w:spacing w:after="20"/>
            </w:pPr>
            <w:r>
              <w:rPr>
                <w:b/>
                <w:sz w:val="18"/>
                <w:szCs w:val="18"/>
              </w:rPr>
              <w:t xml:space="preserve">9,327,900.00</w:t>
            </w:r>
          </w:p>
        </w:tc>
      </w:tr>
      <w:tr>
        <w:tc>
          <w:tcPr>
            <w:tcW w:w="4526" w:type="dxa"/>
          </w:tcPr>
          <w:p>
            <w:pPr>
              <w:jc w:val="left"/>
              <w:spacing w:after="20"/>
            </w:pPr>
            <w:r>
              <w:rPr>
                <w:sz w:val="18"/>
                <w:szCs w:val="18"/>
              </w:rPr>
              <w:t xml:space="preserve">Other income</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186,300.00</w:t>
            </w:r>
          </w:p>
        </w:tc>
        <w:tc>
          <w:tcPr>
            <w:tcW w:w="1500" w:type="dxa"/>
          </w:tcPr>
          <w:p>
            <w:pPr>
              <w:jc w:val="right"/>
              <w:spacing w:after="20"/>
            </w:pPr>
            <w:r>
              <w:rPr>
                <w:sz w:val="18"/>
                <w:szCs w:val="18"/>
              </w:rPr>
              <w:t xml:space="preserve">214,600.00</w:t>
            </w:r>
          </w:p>
        </w:tc>
      </w:tr>
      <w:tr>
        <w:tc>
          <w:tcPr>
            <w:tcW w:w="4526" w:type="dxa"/>
          </w:tcPr>
          <w:p>
            <w:pPr>
              <w:jc w:val="left"/>
              <w:spacing w:after="20"/>
            </w:pPr>
            <w:r>
              <w:rPr>
                <w:sz w:val="18"/>
                <w:szCs w:val="18"/>
              </w:rPr>
              <w:t xml:space="preserve">Operating expenses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(6,128,400.00)</w:t>
            </w:r>
          </w:p>
        </w:tc>
        <w:tc>
          <w:tcPr>
            <w:tcW w:w="1500" w:type="dxa"/>
          </w:tcPr>
          <w:p>
            <w:pPr>
              <w:jc w:val="right"/>
              <w:spacing w:after="20"/>
            </w:pPr>
            <w:r>
              <w:rPr>
                <w:sz w:val="18"/>
                <w:szCs w:val="18"/>
              </w:rPr>
              <w:t xml:space="preserve">(6,890,120.00)</w:t>
            </w:r>
          </w:p>
        </w:tc>
      </w:tr>
      <w:tr>
        <w:tc>
          <w:tcPr>
            <w:tcW w:w="4526" w:type="dxa"/>
          </w:tcPr>
          <w:p>
            <w:pPr>
              <w:jc w:val="left"/>
              <w:spacing w:after="20"/>
            </w:pPr>
            <w:r>
              <w:rPr>
                <w:b/>
                <w:sz w:val="18"/>
                <w:szCs w:val="18"/>
              </w:rPr>
              <w:t xml:space="preserve">Operating profit</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2,205,100.00</w:t>
            </w:r>
          </w:p>
        </w:tc>
        <w:tc>
          <w:tcPr>
            <w:tcW w:w="1500" w:type="dxa"/>
          </w:tcPr>
          <w:p>
            <w:pPr>
              <w:jc w:val="right"/>
              <w:spacing w:after="20"/>
            </w:pPr>
            <w:r>
              <w:rPr>
                <w:b/>
                <w:sz w:val="18"/>
                <w:szCs w:val="18"/>
              </w:rPr>
              <w:t xml:space="preserve">2,652,380.00</w:t>
            </w:r>
          </w:p>
        </w:tc>
      </w:tr>
      <w:tr>
        <w:tc>
          <w:tcPr>
            <w:tcW w:w="4526" w:type="dxa"/>
          </w:tcPr>
          <w:p>
            <w:pPr>
              <w:jc w:val="left"/>
              <w:spacing w:after="20"/>
            </w:pPr>
            <w:r>
              <w:rPr>
                <w:sz w:val="18"/>
                <w:szCs w:val="18"/>
              </w:rPr>
              <w:t xml:space="preserve">Finance costs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(265,100.00)</w:t>
            </w:r>
          </w:p>
        </w:tc>
        <w:tc>
          <w:tcPr>
            <w:tcW w:w="1500" w:type="dxa"/>
          </w:tcPr>
          <w:p>
            <w:pPr>
              <w:jc w:val="right"/>
              <w:spacing w:after="20"/>
            </w:pPr>
            <w:r>
              <w:rPr>
                <w:sz w:val="18"/>
                <w:szCs w:val="18"/>
              </w:rPr>
              <w:t xml:space="preserve">(238,400.00)</w:t>
            </w:r>
          </w:p>
        </w:tc>
      </w:tr>
      <w:tr>
        <w:tc>
          <w:tcPr>
            <w:tcW w:w="4526" w:type="dxa"/>
          </w:tcPr>
          <w:p>
            <w:pPr>
              <w:jc w:val="left"/>
              <w:spacing w:after="20"/>
            </w:pPr>
            <w:r>
              <w:rPr>
                <w:b/>
                <w:sz w:val="18"/>
                <w:szCs w:val="18"/>
              </w:rPr>
              <w:t xml:space="preserve">Profit before taxation</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1,940,000.00</w:t>
            </w:r>
          </w:p>
        </w:tc>
        <w:tc>
          <w:tcPr>
            <w:tcW w:w="1500" w:type="dxa"/>
          </w:tcPr>
          <w:p>
            <w:pPr>
              <w:jc w:val="right"/>
              <w:spacing w:after="20"/>
            </w:pPr>
            <w:r>
              <w:rPr>
                <w:b/>
                <w:sz w:val="18"/>
                <w:szCs w:val="18"/>
              </w:rPr>
              <w:t xml:space="preserve">2,413,980.00</w:t>
            </w:r>
          </w:p>
        </w:tc>
      </w:tr>
      <w:tr>
        <w:tc>
          <w:tcPr>
            <w:tcW w:w="4526" w:type="dxa"/>
          </w:tcPr>
          <w:p>
            <w:pPr>
              <w:jc w:val="left"/>
              <w:spacing w:after="20"/>
            </w:pPr>
            <w:r>
              <w:rPr>
                <w:sz w:val="18"/>
                <w:szCs w:val="18"/>
              </w:rPr>
              <w:t xml:space="preserve">Taxation</w:t>
            </w:r>
          </w:p>
        </w:tc>
        <w:tc>
          <w:tcPr>
            <w:tcW w:w="1500" w:type="dxa"/>
          </w:tcPr>
          <w:p>
            <w:pPr>
              <w:jc w:val="left"/>
              <w:spacing w:after="20"/>
            </w:pPr>
            <w:r>
              <w:rPr>
                <w:sz w:val="18"/>
                <w:szCs w:val="18"/>
              </w:rPr>
              <w:t xml:space="preserve">6</w:t>
            </w:r>
          </w:p>
        </w:tc>
        <w:tc>
          <w:tcPr>
            <w:tcW w:w="1500" w:type="dxa"/>
          </w:tcPr>
          <w:p>
            <w:pPr>
              <w:jc w:val="right"/>
              <w:spacing w:after="20"/>
            </w:pPr>
            <w:r>
              <w:rPr>
                <w:sz w:val="18"/>
                <w:szCs w:val="18"/>
              </w:rPr>
              <w:t xml:space="preserve">(523,800.00)</w:t>
            </w:r>
          </w:p>
        </w:tc>
        <w:tc>
          <w:tcPr>
            <w:tcW w:w="1500" w:type="dxa"/>
          </w:tcPr>
          <w:p>
            <w:pPr>
              <w:jc w:val="right"/>
              <w:spacing w:after="20"/>
            </w:pPr>
            <w:r>
              <w:rPr>
                <w:sz w:val="18"/>
                <w:szCs w:val="18"/>
              </w:rPr>
              <w:t xml:space="preserve">(651,775.00)</w:t>
            </w:r>
          </w:p>
        </w:tc>
      </w:tr>
      <w:tr>
        <w:tc>
          <w:tcPr>
            <w:tcW w:w="4526" w:type="dxa"/>
          </w:tcPr>
          <w:p>
            <w:pPr>
              <w:jc w:val="left"/>
              <w:spacing w:after="20"/>
            </w:pPr>
            <w:r>
              <w:rPr>
                <w:b/>
                <w:sz w:val="18"/>
                <w:szCs w:val="18"/>
              </w:rPr>
              <w:t xml:space="preserve">Profit for the year</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1,416,200.00</w:t>
            </w:r>
          </w:p>
        </w:tc>
        <w:tc>
          <w:tcPr>
            <w:tcW w:w="1500" w:type="dxa"/>
          </w:tcPr>
          <w:p>
            <w:pPr>
              <w:jc w:val="right"/>
              <w:spacing w:after="20"/>
            </w:pPr>
            <w:r>
              <w:rPr>
                <w:b/>
                <w:sz w:val="18"/>
                <w:szCs w:val="18"/>
              </w:rPr>
              <w:t xml:space="preserve">1,762,205.00</w:t>
            </w:r>
          </w:p>
        </w:tc>
      </w:tr>
      <w:tr>
        <w:tc>
          <w:tcPr>
            <w:tcW w:w="4526" w:type="dxa"/>
          </w:tcPr>
          <w:p>
            <w:pPr>
              <w:jc w:val="left"/>
              <w:spacing w:after="20"/>
            </w:pPr>
            <w:r>
              <w:rPr>
                <w:sz w:val="18"/>
                <w:szCs w:val="18"/>
              </w:rPr>
              <w:t xml:space="preserve">Other comprehensive income</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w:t>
            </w:r>
          </w:p>
        </w:tc>
        <w:tc>
          <w:tcPr>
            <w:tcW w:w="1500" w:type="dxa"/>
          </w:tcPr>
          <w:p>
            <w:pPr>
              <w:jc w:val="right"/>
              <w:spacing w:after="20"/>
            </w:pPr>
            <w:r>
              <w:rPr>
                <w:sz w:val="18"/>
                <w:szCs w:val="18"/>
              </w:rPr>
              <w:t xml:space="preserve">—</w:t>
            </w:r>
          </w:p>
        </w:tc>
      </w:tr>
      <w:tr>
        <w:tc>
          <w:tcPr>
            <w:tcW w:w="4526" w:type="dxa"/>
          </w:tcPr>
          <w:p>
            <w:pPr>
              <w:jc w:val="left"/>
              <w:spacing w:after="20"/>
            </w:pPr>
            <w:r>
              <w:rPr>
                <w:b/>
                <w:sz w:val="18"/>
                <w:szCs w:val="18"/>
              </w:rPr>
              <w:t xml:space="preserve">Total comprehensive income for the year</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1,416,200.00</w:t>
            </w:r>
          </w:p>
        </w:tc>
        <w:tc>
          <w:tcPr>
            <w:tcW w:w="1500" w:type="dxa"/>
          </w:tcPr>
          <w:p>
            <w:pPr>
              <w:jc w:val="right"/>
              <w:spacing w:after="20"/>
            </w:pPr>
            <w:r>
              <w:rPr>
                <w:b/>
                <w:sz w:val="18"/>
                <w:szCs w:val="18"/>
              </w:rPr>
              <w:t xml:space="preserve">1,762,205.00</w:t>
            </w:r>
          </w:p>
        </w:tc>
      </w:tr>
    </w:tbl>
    <w:p>
      <w:pPr>
        <w:spacing w:after="60"/>
      </w:pPr>
      <w:r>
        <w:t xml:space="preserve"/>
      </w:r>
    </w:p>
    <w:p>
      <w:pPr>
        <w:pStyle w:val="Heading1"/>
        <w:spacing w:after="120"/>
      </w:pPr>
      <w:r>
        <w:rPr>
          <w:b/>
          <w:sz w:val="24"/>
          <w:szCs w:val="24"/>
        </w:rPr>
        <w:t xml:space="preserve">Statement of Changes in Equity</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b/>
                <w:sz w:val="18"/>
                <w:szCs w:val="18"/>
              </w:rPr>
              <w:t xml:space="preserve">Balance at 1 April 2025</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5,180,705.00</w:t>
            </w:r>
          </w:p>
        </w:tc>
      </w:tr>
      <w:tr>
        <w:tc>
          <w:tcPr>
            <w:tcW w:w="6026" w:type="dxa"/>
          </w:tcPr>
          <w:p>
            <w:pPr>
              <w:jc w:val="left"/>
              <w:spacing w:after="20"/>
            </w:pPr>
            <w:r>
              <w:rPr>
                <w:sz w:val="18"/>
                <w:szCs w:val="18"/>
              </w:rPr>
              <w:t xml:space="preserve">Profit for the year</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1,762,205.00</w:t>
            </w:r>
          </w:p>
        </w:tc>
      </w:tr>
      <w:tr>
        <w:tc>
          <w:tcPr>
            <w:tcW w:w="6026" w:type="dxa"/>
          </w:tcPr>
          <w:p>
            <w:pPr>
              <w:jc w:val="left"/>
              <w:spacing w:after="20"/>
            </w:pPr>
            <w:r>
              <w:rPr>
                <w:sz w:val="18"/>
                <w:szCs w:val="18"/>
              </w:rPr>
              <w:t xml:space="preserve">Dividends declared</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w:t>
            </w:r>
          </w:p>
        </w:tc>
      </w:tr>
      <w:tr>
        <w:tc>
          <w:tcPr>
            <w:tcW w:w="6026" w:type="dxa"/>
          </w:tcPr>
          <w:p>
            <w:pPr>
              <w:jc w:val="left"/>
              <w:spacing w:after="20"/>
            </w:pPr>
            <w:r>
              <w:rPr>
                <w:b/>
                <w:sz w:val="18"/>
                <w:szCs w:val="18"/>
              </w:rPr>
              <w:t xml:space="preserve">Balance at 31 March 2026</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6,942,910.00</w:t>
            </w:r>
          </w:p>
        </w:tc>
      </w:tr>
    </w:tbl>
    <w:p>
      <w:pPr>
        <w:spacing w:after="60"/>
      </w:pPr>
      <w:r>
        <w:t xml:space="preserve"/>
      </w:r>
    </w:p>
    <w:p>
      <w:pPr>
        <w:pStyle w:val="Heading1"/>
        <w:spacing w:after="120"/>
      </w:pPr>
      <w:r>
        <w:rPr>
          <w:b/>
          <w:sz w:val="24"/>
          <w:szCs w:val="24"/>
        </w:rPr>
        <w:t xml:space="preserve">Statement of Cash Flows</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2,984,100.00</w:t>
            </w:r>
          </w:p>
        </w:tc>
      </w:tr>
      <w:tr>
        <w:tc>
          <w:tcPr>
            <w:tcW w:w="6026" w:type="dxa"/>
          </w:tcPr>
          <w:p>
            <w:pPr>
              <w:jc w:val="left"/>
              <w:spacing w:after="20"/>
            </w:pPr>
            <w:r>
              <w:rPr>
                <w:sz w:val="18"/>
                <w:szCs w:val="18"/>
              </w:rPr>
              <w:t xml:space="preserve">Finance costs paid</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(238,400.00)</w:t>
            </w:r>
          </w:p>
        </w:tc>
      </w:tr>
      <w:tr>
        <w:tc>
          <w:tcPr>
            <w:tcW w:w="6026" w:type="dxa"/>
          </w:tcPr>
          <w:p>
            <w:pPr>
              <w:jc w:val="left"/>
              <w:spacing w:after="20"/>
            </w:pPr>
            <w:r>
              <w:rPr>
                <w:sz w:val="18"/>
                <w:szCs w:val="18"/>
              </w:rPr>
              <w:t xml:space="preserve">Taxation paid</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(602,300.00)</w:t>
            </w:r>
          </w:p>
        </w:tc>
      </w:tr>
      <w:tr>
        <w:tc>
          <w:tcPr>
            <w:tcW w:w="6026" w:type="dxa"/>
          </w:tcPr>
          <w:p>
            <w:pPr>
              <w:jc w:val="left"/>
              <w:spacing w:after="20"/>
            </w:pPr>
            <w:r>
              <w:rPr>
                <w:b/>
                <w:sz w:val="18"/>
                <w:szCs w:val="18"/>
              </w:rPr>
              <w:t xml:space="preserve">Net cash from operating activities</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2,143,400.00</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6026" w:type="dxa"/>
          </w:tcPr>
          <w:p>
            <w:pPr>
              <w:jc w:val="left"/>
              <w:spacing w:after="20"/>
            </w:pPr>
            <w:r>
              <w:rPr>
                <w:sz w:val="18"/>
                <w:szCs w:val="18"/>
              </w:rPr>
              <w:t xml:space="preserve">Acquisition of property, plant and equipment</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(1,284,000.00)</w:t>
            </w:r>
          </w:p>
        </w:tc>
      </w:tr>
      <w:tr>
        <w:tc>
          <w:tcPr>
            <w:tcW w:w="6026" w:type="dxa"/>
          </w:tcPr>
          <w:p>
            <w:pPr>
              <w:jc w:val="left"/>
              <w:spacing w:after="20"/>
            </w:pPr>
            <w:r>
              <w:rPr>
                <w:b/>
                <w:sz w:val="18"/>
                <w:szCs w:val="18"/>
              </w:rPr>
              <w:t xml:space="preserve">Net cash used in investing activities</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(1,284,000.00)</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6026" w:type="dxa"/>
          </w:tcPr>
          <w:p>
            <w:pPr>
              <w:jc w:val="left"/>
              <w:spacing w:after="20"/>
            </w:pPr>
            <w:r>
              <w:rPr>
                <w:sz w:val="18"/>
                <w:szCs w:val="18"/>
              </w:rPr>
              <w:t xml:space="preserve">Repayment of borrowings</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(520,000.00)</w:t>
            </w:r>
          </w:p>
        </w:tc>
      </w:tr>
      <w:tr>
        <w:tc>
          <w:tcPr>
            <w:tcW w:w="6026" w:type="dxa"/>
          </w:tcPr>
          <w:p>
            <w:pPr>
              <w:jc w:val="left"/>
              <w:spacing w:after="20"/>
            </w:pPr>
            <w:r>
              <w:rPr>
                <w:b/>
                <w:sz w:val="18"/>
                <w:szCs w:val="18"/>
              </w:rPr>
              <w:t xml:space="preserve">Net cash used in financing activities</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(520,000.00)</w:t>
            </w:r>
          </w:p>
        </w:tc>
      </w:tr>
      <w:tr>
        <w:tc>
          <w:tcPr>
            <w:tcW w:w="6026" w:type="dxa"/>
          </w:tcPr>
          <w:p>
            <w:pPr>
              <w:jc w:val="left"/>
              <w:spacing w:after="20"/>
            </w:pPr>
            <w:r>
              <w:rPr>
                <w:b/>
                <w:sz w:val="18"/>
                <w:szCs w:val="18"/>
              </w:rPr>
              <w:t xml:space="preserve">Net increase in cash and cash equivalents</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339,400.00</w:t>
            </w:r>
          </w:p>
        </w:tc>
      </w:tr>
      <w:tr>
        <w:tc>
          <w:tcPr>
            <w:tcW w:w="6026" w:type="dxa"/>
          </w:tcPr>
          <w:p>
            <w:pPr>
              <w:jc w:val="left"/>
              <w:spacing w:after="20"/>
            </w:pPr>
            <w:r>
              <w:rPr>
                <w:sz w:val="18"/>
                <w:szCs w:val="18"/>
              </w:rPr>
              <w:t xml:space="preserve">Cash and cash equivalents at the beginning of the year</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1,119,520.00</w:t>
            </w:r>
          </w:p>
        </w:tc>
      </w:tr>
      <w:tr>
        <w:tc>
          <w:tcPr>
            <w:tcW w:w="6026" w:type="dxa"/>
          </w:tcPr>
          <w:p>
            <w:pPr>
              <w:jc w:val="left"/>
              <w:spacing w:after="20"/>
            </w:pPr>
            <w:r>
              <w:rPr>
                <w:b/>
                <w:sz w:val="18"/>
                <w:szCs w:val="18"/>
              </w:rPr>
              <w:t xml:space="preserve">Cash and cash equivalents at the end of the year</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1,458,920.00</w:t>
            </w:r>
          </w:p>
        </w:tc>
      </w:tr>
    </w:tbl>
    <w:p>
      <w:pPr>
        <w:spacing w:after="60"/>
      </w:pPr>
      <w:r>
        <w:t xml:space="preserve"/>
      </w:r>
    </w:p>
    <w:p>
      <w:pPr>
        <w:pStyle w:val="Heading1"/>
        <w:spacing w:after="120"/>
      </w:pPr>
      <w:r>
        <w:rPr>
          <w:b/>
          <w:sz w:val="26"/>
          <w:szCs w:val="26"/>
        </w:rPr>
        <w:t xml:space="preserve">Significant Accounting Policies</w:t>
      </w:r>
    </w:p>
    <w:p>
      <w:pPr>
        <w:spacing w:after="120"/>
      </w:pPr>
      <w:r>
        <w:t xml:space="preserve">The following accounting policies are consistent with IFRS for SMEs and have been applied in preparing these annual financial statements.</w:t>
      </w:r>
    </w:p>
    <w:p>
      <w:pPr>
        <w:pStyle w:val="Heading2"/>
        <w:spacing w:after="120"/>
      </w:pPr>
      <w:r>
        <w:rPr>
          <w:b/>
          <w:sz w:val="20"/>
          <w:szCs w:val="20"/>
        </w:rPr>
        <w:t xml:space="preserve">Basis of preparation</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Intangible assets other than goodwill</w:t>
      </w:r>
    </w:p>
    <w:p>
      <w:pPr>
        <w:spacing w:after="120"/>
      </w:pPr>
      <w:r>
        <w:t xml:space="preserve">An intangible asset is recognised when it is identifiable, the entity controls it, it is probable that future economic benefits will flow to the entity, and its cost can be measured reliably. Internally generated brands, logos, publishing titles, customer lists and items similar in substance are not recognised as intangible assets. Research expenditure is recognised as an expense when incurred. Development expenditure is capitalised only when the recognition criteria in Section 18 are met. Intangible assets are measured initially at cost. Intangible assets are subsequently carried at cost less accumulated amortisation and impairment losses and are amortised on a systematic basis over their useful lives. If the useful life cannot be established reliably, the life is presumed not to exceed ten years.</w:t>
      </w:r>
    </w:p>
    <w:p>
      <w:pPr>
        <w:pStyle w:val="Heading2"/>
        <w:spacing w:after="120"/>
      </w:pPr>
      <w:r>
        <w:rPr>
          <w:b/>
          <w:sz w:val="20"/>
          <w:szCs w:val="20"/>
        </w:rPr>
        <w:t xml:space="preserve">Investment property</w:t>
      </w:r>
    </w:p>
    <w:p>
      <w:pPr>
        <w:spacing w:after="120"/>
      </w:pPr>
      <w:r>
        <w:t xml:space="preserve">Investment property is property (land or a building, or part of a building, or both) held by the owner or by the lessee under a finance lease to earn rentals or for capital appreciation, or both, rather than for use in the production or supply of goods or services or for administrative purposes, or for sale in the ordinary course of business. Investment property is measured initially at cost. Investment property whose fair value can be measured reliably without undue cost or effort is measured at fair value at each reporting date, with changes in fair value recognised in profit or loss. All other investment property is accounted for as property, plant and equipment using the cost-depreciation-impairment model in Section 17.</w:t>
      </w:r>
    </w:p>
    <w:p>
      <w:pPr>
        <w:pStyle w:val="Heading2"/>
        <w:spacing w:after="120"/>
      </w:pPr>
      <w:r>
        <w:rPr>
          <w:b/>
          <w:sz w:val="20"/>
          <w:szCs w:val="20"/>
        </w:rPr>
        <w:t xml:space="preserve">Leases</w:t>
      </w:r>
    </w:p>
    <w:p>
      <w:pPr>
        <w:spacing w:after="120"/>
      </w:pPr>
      <w:r>
        <w:t xml:space="preserve">Leases are classified as finance leases or operating leases. A lease is classified as a finance lease if it transfers substantially all the risks and rewards incidental to ownership. All other leases are classified as operating leases. At the commencement of the lease term, a lessee recognises finance leases as assets and liabilities at amounts equal to the fair value of the leased property or, if lower, the present value of the minimum lease payments. Operating lease payments are recognised as an expense on a straight-line basis over the lease term unless another systematic basis is more representative of the time pattern of the user’s benefit. Finance lease assets are depreciated over the shorter of the lease term and the useful life of the asset, unless there is reasonable certainty that the lessee will obtain ownership. Minimum lease payments are apportioned between the finance charge and the reduction of the outstanding liability.</w:t>
      </w:r>
    </w:p>
    <w:p>
      <w:pPr>
        <w:pStyle w:val="Heading2"/>
        <w:spacing w:after="120"/>
      </w:pPr>
      <w:r>
        <w:rPr>
          <w:b/>
          <w:sz w:val="20"/>
          <w:szCs w:val="20"/>
        </w:rPr>
        <w:t xml:space="preserve">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Inventories</w:t>
      </w:r>
    </w:p>
    <w:p>
      <w:pPr>
        <w:spacing w:after="120"/>
      </w:pPr>
      <w:r>
        <w:t xml:space="preserve">Inventories are measured initially at cost, comprising all costs of purchase, costs of conversion and other costs incurred in bringing the inventories to their present location and condition. Inventories are subsequently measured at the lower of cost and estimated selling price less costs to complete and sell. Cost is assigned using the first-in, first-out or weighted-average cost formula. The same cost formula is used for all inventories having a similar nature and use.</w:t>
      </w:r>
    </w:p>
    <w:p>
      <w:pPr>
        <w:pStyle w:val="Heading2"/>
        <w:spacing w:after="120"/>
      </w:pPr>
      <w:r>
        <w:rPr>
          <w:b/>
          <w:sz w:val="20"/>
          <w:szCs w:val="20"/>
        </w:rPr>
        <w:t xml:space="preserve">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Foreign currency translation</w:t>
      </w:r>
    </w:p>
    <w:p>
      <w:pPr>
        <w:spacing w:after="120"/>
      </w:pPr>
      <w:r>
        <w:t xml:space="preserve">A foreign currency transaction is recorded, on initial recognition in the functional currency, by applying the spot exchange rate at the date of the transaction. At the end of each reporting period, foreign currency monetary items are translated using the closing rate. Non-monetary items measured at historical cost in a foreign currency are not retranslated. Exchange differences are recognised in profit or loss in the period in which they arise, except as otherwise required by the IFRS for SMEs.</w:t>
      </w:r>
    </w:p>
    <w:p>
      <w:pPr>
        <w:pStyle w:val="Heading2"/>
        <w:spacing w:after="120"/>
      </w:pPr>
      <w:r>
        <w:rPr>
          <w:b/>
          <w:sz w:val="20"/>
          <w:szCs w:val="20"/>
        </w:rPr>
        <w:t xml:space="preserve">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Government grants</w:t>
      </w:r>
    </w:p>
    <w:p>
      <w:pPr>
        <w:spacing w:after="120"/>
      </w:pPr>
      <w:r>
        <w:t xml:space="preserve">A government grant is recognised when there is reasonable assurance that the entity will comply with the conditions attaching to it and that the grant will be received. Grants are recognised in income on a systematic basis over the periods in which the entity recognises the related costs for which the grant is intended to compensate. A grant that becomes receivable as compensation for expenses or losses already incurred, or for the purpose of giving immediate financial support with no future related costs, is recognised in income in the period in which it becomes receivable. Government grants related to assets are recognised either as deferred income or by deducting the grant in arriving at the carrying amount of the asset, consistently with the chosen presentation policy.</w:t>
      </w:r>
    </w:p>
    <w:p>
      <w:pPr>
        <w:pStyle w:val="Heading2"/>
        <w:spacing w:after="120"/>
      </w:pPr>
      <w:r>
        <w:rPr>
          <w:b/>
          <w:sz w:val="20"/>
          <w:szCs w:val="20"/>
        </w:rPr>
        <w:t xml:space="preserve">Investments in associates</w:t>
      </w:r>
    </w:p>
    <w:p>
      <w:pPr>
        <w:spacing w:after="120"/>
      </w:pPr>
      <w:r>
        <w:t xml:space="preserve">An associate is an entity, including an unincorporated entity such as a partnership, over which the investor has significant influence and that is neither a subsidiary nor an interest in a joint venture. Significant influence is the power to participate in the financial and operating policy decisions of the associate but is not control or joint control. In the investor’s consolidated financial statements, investments in associates are accounted for using the equity method, unless the investment is measured at fair value through profit or loss or the investor is exempt from preparing consolidated financial statements. In an investor’s separate financial statements, investments in associates are accounted for at cost less impairment, at fair value through profit or loss, or using the equity method.</w:t>
      </w:r>
    </w:p>
    <w:p>
      <w:pPr>
        <w:pStyle w:val="Heading2"/>
        <w:spacing w:after="120"/>
      </w:pPr>
      <w:r>
        <w:rPr>
          <w:b/>
          <w:sz w:val="20"/>
          <w:szCs w:val="20"/>
        </w:rPr>
        <w:t xml:space="preserve">Investments in joint ventures</w:t>
      </w:r>
    </w:p>
    <w:p>
      <w:pPr>
        <w:spacing w:after="120"/>
      </w:pPr>
      <w:r>
        <w:t xml:space="preserve">A joint venture is a contractual arrangement whereby two or more parties undertake an economic activity that is subject to joint control. Joint control is the contractually agreed sharing of control over an economic activity and exists only when the strategic financial and operating decisions require the unanimous consent of the parties sharing control. Jointly controlled entities are accounted for using the equity method in consolidated financial statements, unless measured at fair value through profit or loss. Interests in jointly controlled operations and jointly controlled assets are recognised by including the entity’s share of assets, liabilities, income and expenses.</w:t>
      </w:r>
    </w:p>
    <w:p>
      <w:pPr>
        <w:pStyle w:val="Heading2"/>
        <w:spacing w:after="120"/>
      </w:pPr>
      <w:r>
        <w:rPr>
          <w:b/>
          <w:sz w:val="20"/>
          <w:szCs w:val="20"/>
        </w:rPr>
        <w:t xml:space="preserve">Business combinations and goodwill</w:t>
      </w:r>
    </w:p>
    <w:p>
      <w:pPr>
        <w:spacing w:after="120"/>
      </w:pPr>
      <w:r>
        <w:t xml:space="preserve">All business combinations are accounted for by applying the purchase method. Goodwill acquired in a business combination is recognised as an asset from the acquisition date and represents the future economic benefits arising from assets that are not capable of being individually identified and separately recognised. After initial recognition, the acquirer measures goodwill acquired in a business combination at cost less accumulated amortisation and accumulated impairment losses. Goodwill is considered to have a finite useful life and is amortised on a systematic basis over its useful life. If a reliable estimate of the useful life cannot be made, the life is presumed not to exceed ten years. Goodwill is tested for impairment in accordance with Section 27 when there is an indication of impairment.</w:t>
      </w:r>
    </w:p>
    <w:p>
      <w:pPr>
        <w:pStyle w:val="Heading2"/>
        <w:spacing w:after="120"/>
      </w:pPr>
      <w:r>
        <w:rPr>
          <w:b/>
          <w:sz w:val="20"/>
          <w:szCs w:val="20"/>
        </w:rPr>
        <w:t xml:space="preserve">Share-based payment</w:t>
      </w:r>
    </w:p>
    <w:p>
      <w:pPr>
        <w:spacing w:after="120"/>
      </w:pPr>
      <w:r>
        <w:t xml:space="preserve">Equity-settled share-based payment transactions with employees are measured at the fair value of the equity instruments granted at grant date. The fair value is recognised as an expense with a corresponding increase in equity over the vesting period. Cash-settled share-based payment transactions are measured at the fair value of the liability, remeasured at each reporting date and at the date of settlement, with changes recognised in profit or loss.</w:t>
      </w:r>
    </w:p>
    <w:p>
      <w:pPr>
        <w:pStyle w:val="Heading2"/>
        <w:spacing w:after="120"/>
      </w:pPr>
      <w:r>
        <w:rPr>
          <w:b/>
          <w:sz w:val="20"/>
          <w:szCs w:val="20"/>
        </w:rPr>
        <w:t xml:space="preserve">Hyperinflation</w:t>
      </w:r>
    </w:p>
    <w:p>
      <w:pPr>
        <w:spacing w:after="120"/>
      </w:pPr>
      <w:r>
        <w:t xml:space="preserve">If the functional currency is the currency of a hyperinflationary economy, the financial statements are stated in terms of the measuring unit current at the end of the reporting period in accordance with Section 31. Comparative amounts are also restated. The gain or loss on the net monetary position is included in profit or loss.</w:t>
      </w:r>
    </w:p>
    <w:p>
      <w:pPr>
        <w:pStyle w:val="Heading2"/>
        <w:spacing w:after="120"/>
      </w:pPr>
      <w:r>
        <w:rPr>
          <w:b/>
          <w:sz w:val="20"/>
          <w:szCs w:val="20"/>
        </w:rPr>
        <w:t xml:space="preserve">Consolidated and separate financial statements</w:t>
      </w:r>
    </w:p>
    <w:p>
      <w:pPr>
        <w:spacing w:after="120"/>
      </w:pPr>
      <w:r>
        <w:t xml:space="preserve">A parent presents consolidated financial statements in which it consolidates its investments in subsidiaries, unless it is exempt under Section 9. Control is the power to govern the financial and operating policies of an entity so as to obtain benefits from its activities. Intragroup balances and transactions are eliminated in full. In separate financial statements, investments in subsidiaries, associates and jointly controlled entities are accounted for at cost less impairment, at fair value through profit or loss, or using the equity method.</w:t>
      </w:r>
    </w:p>
    <w:p>
      <w:pPr>
        <w:pStyle w:val="Heading2"/>
        <w:spacing w:after="120"/>
      </w:pPr>
      <w:r>
        <w:rPr>
          <w:b/>
          <w:sz w:val="20"/>
          <w:szCs w:val="20"/>
        </w:rPr>
        <w:t xml:space="preserve">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Financial Statements</w:t>
      </w:r>
    </w:p>
    <w:p>
      <w:pPr>
        <w:pStyle w:val="Heading2"/>
        <w:spacing w:after="120"/>
      </w:pPr>
      <w:r>
        <w:rPr>
          <w:b/>
          <w:sz w:val="20"/>
          <w:szCs w:val="20"/>
        </w:rPr>
        <w:t xml:space="preserve">Note 1. General information</w:t>
      </w:r>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r>
        <w:rPr>
          <w:b/>
          <w:sz w:val="20"/>
          <w:szCs w:val="20"/>
        </w:rPr>
        <w:t xml:space="preserve">Note 2. Basis of preparation</w:t>
      </w:r>
    </w:p>
    <w:p>
      <w:pPr>
        <w:spacing w:after="120"/>
      </w:pPr>
      <w:r>
        <w:t xml:space="preserve">The annual financial statements have been prepared in accordance with the IFRS for SMEs and in the manner required by the applicable companies legislation in the jurisdiction of incorporation. They are presented in the functional and presentation currency of the entity.</w:t>
      </w:r>
    </w:p>
    <w:p>
      <w:pPr>
        <w:spacing w:after="120"/>
      </w:pPr>
      <w:r>
        <w:t xml:space="preserve">The financial statements have been prepared on the historical cost basis, except for financial instruments and other items measured at fair value where required or elected under the IFRS for SMEs, and on the going concern and accrual bases of accounting.</w:t>
      </w:r>
    </w:p>
    <w:p>
      <w:pPr>
        <w:pStyle w:val="Heading2"/>
        <w:spacing w:after="120"/>
      </w:pPr>
      <w:r>
        <w:rPr>
          <w:b/>
          <w:sz w:val="20"/>
          <w:szCs w:val="20"/>
        </w:rPr>
        <w:t xml:space="preserve">Note 3. Significant judgements and sources of estimation uncertainty</w:t>
      </w:r>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spacing w:after="120"/>
      </w:pPr>
      <w:r>
        <w:rPr>
          <w:b/>
        </w:rPr>
        <w:t xml:space="preserve">Significant judgement: 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r>
        <w:rPr>
          <w:b/>
          <w:sz w:val="20"/>
          <w:szCs w:val="20"/>
        </w:rPr>
        <w:t xml:space="preserve">Note 4. Revenue</w:t>
      </w:r>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spacing w:after="40"/>
      </w:pPr>
      <w:r>
        <w:rPr>
          <w:b/>
        </w:rPr>
        <w:t xml:space="preserve">Revenue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Revenue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5. Property, plant and equipment</w:t>
      </w:r>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spacing w:after="40"/>
      </w:pPr>
      <w:r>
        <w:rPr>
          <w:b/>
        </w:rPr>
        <w:t xml:space="preserve">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4,218,650.00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Depreciation</w:t>
            </w:r>
          </w:p>
        </w:tc>
        <w:tc>
          <w:tcPr>
            <w:tcW w:w="1085" w:type="dxa"/>
            <w:shd w:val="clear" w:color="auto" w:fill="F2F2F2"/>
          </w:tcPr>
          <w:p>
            <w:pPr>
              <w:jc w:val="right"/>
              <w:spacing w:after="20"/>
            </w:pPr>
            <w:r>
              <w:rPr>
                <w:b/>
                <w:sz w:val="18"/>
                <w:szCs w:val="18"/>
              </w:rPr>
              <w:t xml:space="preserve">Closing balance</w:t>
            </w:r>
          </w:p>
        </w:tc>
      </w:tr>
      <w:tr>
        <w:tc>
          <w:tcPr>
            <w:tcW w:w="3600" w:type="dxa"/>
          </w:tcPr>
          <w:p>
            <w:pPr>
              <w:jc w:val="left"/>
              <w:spacing w:after="20"/>
            </w:pPr>
            <w:r>
              <w:rPr>
                <w:sz w:val="18"/>
                <w:szCs w:val="18"/>
              </w:rPr>
              <w:t xml:space="preserve">Land</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Buildings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Plant and machinery</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Motor vehicles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Office equipment</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Total</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4 218 650</w:t>
            </w:r>
          </w:p>
        </w:tc>
      </w:tr>
    </w:tbl>
    <w:p>
      <w:pPr>
        <w:spacing w:after="40"/>
      </w:pPr>
      <w:r>
        <w:t xml:space="preserve"/>
      </w:r>
    </w:p>
    <w:p>
      <w:pPr>
        <w:spacing w:after="40"/>
      </w:pPr>
      <w:r>
        <w:rPr>
          <w:b/>
        </w:rPr>
        <w:t xml:space="preserve">Property, plant and equipment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4,218,650.00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pStyle w:val="Heading2"/>
        <w:spacing w:after="120"/>
      </w:pPr>
      <w:r>
        <w:rPr>
          <w:b/>
          <w:sz w:val="20"/>
          <w:szCs w:val="20"/>
        </w:rPr>
        <w:t xml:space="preserve">Note 6. Income tax</w:t>
      </w:r>
    </w:p>
    <w:p>
      <w:pPr>
        <w:spacing w:after="120"/>
      </w:pPr>
      <w:r>
        <w:t xml:space="preserve">The income tax expense comprises current and deferred tax. A reconciliation between the tax expense and the product of accounting profit multiplied by the applicable tax rate is set out below, together with an explanation of changes in the applicable rate where relevant.</w:t>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7. Related party disclosures</w:t>
      </w:r>
    </w:p>
    <w:p>
      <w:pPr>
        <w:spacing w:after="120"/>
      </w:pPr>
      <w:r>
        <w:t xml:space="preserve">Related party relationships exist between the entity and its parent, subsidiaries, associates, joint ventures, key management personnel and close members of their families, and entities controlled, jointly controlled or significantly influenced by them. Transactions with related parties are entered into in the ordinary course of business.</w:t>
      </w:r>
    </w:p>
    <w:p>
      <w:pPr>
        <w:spacing w:after="120"/>
      </w:pPr>
      <w:r>
        <w:t xml:space="preserve">The nature of related party relationships, information about transactions and outstanding balances, and key management personnel compensation, are set out below.</w:t>
      </w:r>
    </w:p>
    <w:p>
      <w:pPr>
        <w:spacing w:after="40"/>
      </w:pPr>
      <w:r>
        <w:rPr>
          <w:b/>
        </w:rPr>
        <w:t xml:space="preserve">Related party transactions and balances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Related party transactions and balances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8. Events after the end of the reporting period</w:t>
      </w:r>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spacing w:after="120"/>
      </w:pPr>
      <w:r>
        <w:t xml:space="preserve">Accounting estimate: 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pStyle w:val="Heading1"/>
        <w:spacing w:after="120"/>
      </w:pPr>
      <w:r>
        <w:rPr>
          <w:b/>
          <w:sz w:val="26"/>
          <w:szCs w:val="26"/>
        </w:rPr>
        <w:t xml:space="preserve">Supplementary Information</w:t>
      </w:r>
    </w:p>
    <w:p>
      <w:pPr>
        <w:spacing w:after="120"/>
      </w:pPr>
      <w:r>
        <w:rPr>
          <w:color w:val="595959"/>
        </w:rPr>
        <w:t xml:space="preserve">The schedules set out in this section do not form part of the audited annual financial statements and are presented as supplementary information for the use of the directors and management.</w:t>
      </w:r>
    </w:p>
    <w:p>
      <w:pPr>
        <w:spacing w:after="120"/>
      </w:pPr>
      <w:r>
        <w:rPr>
          <w:color w:val="595959"/>
        </w:rPr>
        <w:t xml:space="preserve">Where prepared, the detailed income statement and the taxation computation of the company are presented in this section. These schedules are unaudited and are provided to support the analysis of the results disclosed in the primary statements.</w:t>
      </w:r>
    </w:p>
    <w:p>
      <w:pPr>
        <w:pStyle w:val="Heading1"/>
        <w:spacing w:after="120"/>
      </w:pPr>
      <w:r>
        <w:rPr>
          <w:b/>
          <w:sz w:val="26"/>
          <w:szCs w:val="26"/>
        </w:rPr>
        <w:t xml:space="preserve">Approval of Annual Financial Statements</w:t>
      </w:r>
    </w:p>
    <w:p>
      <w:pPr>
        <w:spacing w:after="120"/>
      </w:pPr>
      <w:r>
        <w:t xml:space="preserve">The annual financial statements were approved by the board of directors and are signed on its behalf by:</w:t>
      </w:r>
    </w:p>
    <w:p>
      <w:pPr>
        <w:spacing w:after="80"/>
      </w:pPr>
      <w:r>
        <w:rPr>
          <w:b/>
          <w:sz w:val="20"/>
          <w:szCs w:val="20"/>
        </w:rPr>
        <w:t xml:space="preserve">Prepared By</w:t>
      </w:r>
    </w:p>
    <w:p>
      <w:pPr>
        <w:spacing w:after="20"/>
      </w:pPr>
      <w:r>
        <w:t xml:space="preserve">______________________________</w:t>
      </w:r>
    </w:p>
    <w:p>
      <w:pPr>
        <w:spacing w:after="20"/>
      </w:pPr>
      <w:r>
        <w:rPr>
          <w:color w:val="595959"/>
        </w:rPr>
        <w:t xml:space="preserve">[Signature]</w:t>
      </w:r>
    </w:p>
    <w:p>
      <w:pPr>
        <w:spacing w:after="20"/>
      </w:pPr>
      <w:r>
        <w:t xml:space="preserve">A. Petersen CA(SA)</w:t>
      </w:r>
    </w:p>
    <w:p>
      <w:pPr>
        <w:spacing w:after="20"/>
      </w:pPr>
      <w:r>
        <w:rPr>
          <w:color w:val="595959"/>
        </w:rPr>
        <w:t xml:space="preserve">Prepared by</w:t>
      </w:r>
    </w:p>
    <w:p>
      <w:pPr>
        <w:spacing w:after="120"/>
      </w:pPr>
      <w:r>
        <w:rPr>
          <w:color w:val="595959"/>
        </w:rPr>
        <w:t xml:space="preserve">[Date]</w:t>
      </w:r>
    </w:p>
    <w:p>
      <w:pPr>
        <w:spacing w:after="80"/>
      </w:pPr>
      <w:r>
        <w:rPr>
          <w:b/>
          <w:sz w:val="20"/>
          <w:szCs w:val="20"/>
        </w:rPr>
        <w:t xml:space="preserve">Reviewed By</w:t>
      </w:r>
    </w:p>
    <w:p>
      <w:pPr>
        <w:spacing w:after="20"/>
      </w:pPr>
      <w:r>
        <w:t xml:space="preserve">______________________________</w:t>
      </w:r>
    </w:p>
    <w:p>
      <w:pPr>
        <w:spacing w:after="20"/>
      </w:pPr>
      <w:r>
        <w:rPr>
          <w:color w:val="595959"/>
        </w:rPr>
        <w:t xml:space="preserve">[Signature]</w:t>
      </w:r>
    </w:p>
    <w:p>
      <w:pPr>
        <w:spacing w:after="20"/>
      </w:pPr>
      <w:r>
        <w:t xml:space="preserve">S. Moloi CA(SA)</w:t>
      </w:r>
    </w:p>
    <w:p>
      <w:pPr>
        <w:spacing w:after="20"/>
      </w:pPr>
      <w:r>
        <w:rPr>
          <w:color w:val="595959"/>
        </w:rPr>
        <w:t xml:space="preserve">Reviewer</w:t>
      </w:r>
    </w:p>
    <w:p>
      <w:pPr>
        <w:spacing w:after="120"/>
      </w:pPr>
      <w:r>
        <w:rPr>
          <w:color w:val="595959"/>
        </w:rPr>
        <w:t xml:space="preserve">[Date]</w:t>
      </w:r>
    </w:p>
    <w:p>
      <w:pPr>
        <w:spacing w:after="80"/>
      </w:pPr>
      <w:r>
        <w:rPr>
          <w:b/>
          <w:sz w:val="20"/>
          <w:szCs w:val="20"/>
        </w:rPr>
        <w:t xml:space="preserve">Approved By</w:t>
      </w:r>
    </w:p>
    <w:p>
      <w:pPr>
        <w:spacing w:after="20"/>
      </w:pPr>
      <w:r>
        <w:t xml:space="preserve">______________________________</w:t>
      </w:r>
    </w:p>
    <w:p>
      <w:pPr>
        <w:spacing w:after="20"/>
      </w:pPr>
      <w:r>
        <w:rPr>
          <w:color w:val="595959"/>
        </w:rPr>
        <w:t xml:space="preserve">[Signature]</w:t>
      </w:r>
    </w:p>
    <w:p>
      <w:pPr>
        <w:spacing w:after="20"/>
      </w:pPr>
      <w:r>
        <w:t xml:space="preserve">R. van der Merwe</w:t>
      </w:r>
    </w:p>
    <w:p>
      <w:pPr>
        <w:spacing w:after="20"/>
      </w:pPr>
      <w:r>
        <w:rPr>
          <w:color w:val="595959"/>
        </w:rPr>
        <w:t xml:space="preserve">Partner</w:t>
      </w:r>
    </w:p>
    <w:p>
      <w:pPr>
        <w:spacing w:after="120"/>
      </w:pPr>
      <w:r>
        <w:rPr>
          <w:color w:val="595959"/>
        </w:rPr>
        <w:t xml:space="preserve">2026-06-24</w:t>
      </w:r>
    </w:p>
    <w:p>
      <w:pPr>
        <w:spacing w:after="80"/>
      </w:pPr>
      <w:r>
        <w:rPr>
          <w:b/>
          <w:sz w:val="20"/>
          <w:szCs w:val="20"/>
        </w:rPr>
        <w:t xml:space="preserve">Authorised Representative</w:t>
      </w:r>
    </w:p>
    <w:p>
      <w:pPr>
        <w:spacing w:after="20"/>
      </w:pPr>
      <w:r>
        <w:t xml:space="preserve">______________________________</w:t>
      </w:r>
    </w:p>
    <w:p>
      <w:pPr>
        <w:spacing w:after="20"/>
      </w:pPr>
      <w:r>
        <w:rPr>
          <w:color w:val="595959"/>
        </w:rPr>
        <w:t xml:space="preserve">[Signature]</w:t>
      </w:r>
    </w:p>
    <w:p>
      <w:pPr>
        <w:spacing w:after="20"/>
      </w:pPr>
      <w:r>
        <w:t xml:space="preserve">T. Nkosi</w:t>
      </w:r>
    </w:p>
    <w:p>
      <w:pPr>
        <w:spacing w:after="20"/>
      </w:pPr>
      <w:r>
        <w:rPr>
          <w:color w:val="595959"/>
        </w:rPr>
        <w:t xml:space="preserve">Company Secretary</w:t>
      </w:r>
    </w:p>
    <w:p>
      <w:pPr>
        <w:spacing w:after="120"/>
      </w:pPr>
      <w:r>
        <w:rPr>
          <w:color w:val="595959"/>
        </w:rPr>
        <w:t xml:space="preserve">2026-06-24</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D0CC"/>
      </w:pBdr>
    </w:pPr>
    <w:r>
      <w:rPr>
        <w:color w:val="595959"/>
        <w:sz w:val="16"/>
        <w:szCs w:val="16"/>
      </w:rPr>
      <w:t xml:space="preserve">AdminLess Fin   </w:t>
    </w:r>
    <w:r>
      <w:rPr>
        <w:color w:val="595959"/>
        <w:sz w:val="16"/>
        <w:szCs w:val="16"/>
      </w:rPr>
      <w:t xml:space="preserve">Page </w:t>
    </w:r>
    <w:r>
      <w:rPr>
        <w:sz w:val="16"/>
      </w:rPr>
      <w:fldChar w:fldCharType="begin"/>
    </w:r>
    <w:r>
      <w:instrText xml:space="preserve"> PAGE </w:instrText>
    </w:r>
    <w:r>
      <w:fldChar w:fldCharType="end"/>
    </w:r>
    <w:r>
      <w:rPr>
        <w:color w:val="595959"/>
        <w:sz w:val="16"/>
        <w:szCs w:val="16"/>
      </w:rPr>
      <w:t xml:space="preserve"> / </w:t>
    </w:r>
    <w:r>
      <w:rPr>
        <w:sz w:val="16"/>
      </w:rPr>
      <w:fldChar w:fldCharType="begin"/>
    </w:r>
    <w:r>
      <w:instrText xml:space="preserve"> NUMPAGES </w:instrText>
    </w:r>
    <w:r>
      <w:fldChar w:fldCharType="end"/>
    </w:r>
    <w:r>
      <w:rPr>
        <w:color w:val="595959"/>
        <w:sz w:val="16"/>
        <w:szCs w:val="16"/>
      </w:rPr>
      <w:t xml:space="preserve">   24 June 2026</w:t>
    </w:r>
  </w:p>
</w:ftr>
</file>

<file path=word/header1.xml><?xml version="1.0" encoding="utf-8"?>
<w:hdr xmlns:w="http://schemas.openxmlformats.org/wordprocessingml/2006/main">
  <w:p>
    <w:pPr>
      <w:pBdr>
        <w:bottom w:val="single" w:sz="4" w:space="1" w:color="1F6B52"/>
      </w:pBdr>
    </w:pPr>
    <w:r>
      <w:rPr>
        <w:b/>
        <w:sz w:val="18"/>
        <w:szCs w:val="18"/>
      </w:rPr>
      <w:t xml:space="preserve">Meridian Trading Solutions (Pty) Ltd</w:t>
    </w:r>
    <w:r>
      <w:br/>
    </w:r>
    <w:r>
      <w:rPr>
        <w:color w:val="595959"/>
        <w:sz w:val="16"/>
        <w:szCs w:val="16"/>
      </w:rPr>
      <w:t xml:space="preserve">Registration number: 2016/348271/07</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