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80"/>
      </w:pPr>
      <w:r>
        <w:rPr>
          <w:b/>
          <w:color w:val="122E47"/>
          <w:sz w:val="44"/>
          <w:szCs w:val="44"/>
        </w:rPr>
        <w:t xml:space="preserve">AdminLess Composition Demo (Pty) Ltd</w:t>
      </w:r>
    </w:p>
    <w:p>
      <w:pPr>
        <w:jc w:val="center"/>
        <w:spacing w:after="40"/>
      </w:pPr>
      <w:r>
        <w:rPr>
          <w:color w:val="595959"/>
        </w:rPr>
        <w:t xml:space="preserve">Registration number 2019/440440/07</w:t>
      </w:r>
    </w:p>
    <w:p>
      <w:pPr>
        <w:jc w:val="center"/>
        <w:spacing w:after="40"/>
      </w:pPr>
      <w:r>
        <w:rPr>
          <w:color w:val="595959"/>
        </w:rPr>
        <w:t xml:space="preserve">Trading as Composition Demo</w:t>
      </w:r>
    </w:p>
    <w:p>
      <w:pPr>
        <w:jc w:val="center"/>
        <w:spacing w:after="40"/>
      </w:pPr>
      <w:r>
        <w:rPr>
          <w:b/>
          <w:color w:val="122E47"/>
          <w:sz w:val="28"/>
          <w:szCs w:val="28"/>
        </w:rPr>
        <w:t xml:space="preserve">Annual Financial Statements</w:t>
      </w:r>
    </w:p>
    <w:p>
      <w:pPr>
        <w:jc w:val="center"/>
        <w:spacing w:after="40"/>
      </w:pPr>
      <w:r>
        <w:t xml:space="preserve">FOR THE YEAR ENDED 31 MARCH 2026</w:t>
      </w:r>
    </w:p>
    <w:p>
      <w:pPr>
        <w:jc w:val="center"/>
        <w:spacing w:after="20"/>
      </w:pPr>
      <w:r>
        <w:t xml:space="preserve">Prepared in accordance with IFRS for SMEs</w:t>
      </w:r>
    </w:p>
    <w:p>
      <w:pPr>
        <w:jc w:val="center"/>
        <w:spacing w:after="120"/>
      </w:pPr>
      <w:r>
        <w:rPr>
          <w:color w:val="595959"/>
        </w:rPr>
        <w:t xml:space="preserve">Figures are stated in South African Rand</w:t>
      </w:r>
    </w:p>
    <w:p>
      <w:pPr>
        <w:jc w:val="center"/>
        <w:spacing w:after="20"/>
      </w:pPr>
      <w:r>
        <w:rPr>
          <w:b/>
          <w:color w:val="122E47"/>
          <w:sz w:val="18"/>
          <w:szCs w:val="18"/>
        </w:rPr>
        <w:t xml:space="preserve">AdminLess Fin</w:t>
      </w:r>
    </w:p>
    <w:p>
      <w:pPr>
        <w:jc w:val="center"/>
        <w:spacing w:after="200"/>
      </w:pPr>
      <w:r>
        <w:rPr>
          <w:color w:val="595959"/>
          <w:sz w:val="16"/>
          <w:szCs w:val="16"/>
        </w:rPr>
        <w:t xml:space="preserve">Enterprise Accounts Production</w:t>
      </w:r>
    </w:p>
    <w:p>
      <w:pPr>
        <w:pStyle w:val="Heading1"/>
        <w:spacing w:after="120"/>
      </w:pPr>
      <w:r>
        <w:rPr>
          <w:b/>
          <w:sz w:val="26"/>
          <w:szCs w:val="26"/>
        </w:rPr>
        <w:t xml:space="preserve">Contents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Corporate Information</w:t>
      </w:r>
    </w:p>
    <w:p>
      <w:pPr>
        <w:spacing w:after="40"/>
      </w:pPr>
      <w:r>
        <w:t xml:space="preserve">Statement of Financial Position</w:t>
      </w:r>
    </w:p>
    <w:p>
      <w:pPr>
        <w:spacing w:after="40"/>
      </w:pPr>
      <w:r>
        <w:t xml:space="preserve">Statement of Profit or Loss and Other Comprehensive Income</w:t>
      </w:r>
    </w:p>
    <w:p>
      <w:pPr>
        <w:spacing w:after="40"/>
      </w:pPr>
      <w:r>
        <w:t xml:space="preserve">Statement of Changes in Equity</w:t>
      </w:r>
    </w:p>
    <w:p>
      <w:pPr>
        <w:spacing w:after="40"/>
      </w:pPr>
      <w:r>
        <w:t xml:space="preserve">Statement of Cash Flows</w:t>
      </w:r>
    </w:p>
    <w:p>
      <w:pPr>
        <w:spacing w:after="40"/>
      </w:pPr>
      <w:r>
        <w:t xml:space="preserve">Significant Accounting Policies</w:t>
      </w:r>
    </w:p>
    <w:p>
      <w:pPr>
        <w:spacing w:after="40"/>
      </w:pPr>
      <w:r>
        <w:t xml:space="preserve">Notes to the Financial Statements</w:t>
      </w:r>
    </w:p>
    <w:p>
      <w:pPr>
        <w:spacing w:after="40"/>
      </w:pPr>
      <w:r>
        <w:t xml:space="preserve">Note 1. Basis of preparation</w:t>
      </w:r>
    </w:p>
    <w:p>
      <w:pPr>
        <w:spacing w:after="40"/>
      </w:pPr>
      <w:r>
        <w:t xml:space="preserve">Note 2. Revenue</w:t>
      </w:r>
    </w:p>
    <w:p>
      <w:pPr>
        <w:spacing w:after="40"/>
      </w:pPr>
      <w:r>
        <w:t xml:space="preserve">Note 3. Property, plant and equipment</w:t>
      </w:r>
    </w:p>
    <w:p>
      <w:pPr>
        <w:spacing w:after="40"/>
      </w:pPr>
      <w:r>
        <w:t xml:space="preserve">Note 4. Related party disclosures</w:t>
      </w:r>
    </w:p>
    <w:p>
      <w:pPr>
        <w:spacing w:after="40"/>
      </w:pPr>
      <w:r>
        <w:t xml:space="preserve">Note 5. Events after the end of the reporting period</w:t>
      </w:r>
    </w:p>
    <w:p>
      <w:pPr>
        <w:spacing w:after="40"/>
      </w:pPr>
      <w:r>
        <w:t xml:space="preserve">Note 6. Borrowing costs</w:t>
      </w:r>
    </w:p>
    <w:p>
      <w:pPr>
        <w:spacing w:after="40"/>
      </w:pPr>
      <w:r>
        <w:t xml:space="preserve">Note 7. Borrowings</w:t>
      </w:r>
    </w:p>
    <w:p>
      <w:pPr>
        <w:spacing w:after="40"/>
      </w:pPr>
      <w:r>
        <w:t xml:space="preserve">Note 8. Financial instruments</w:t>
      </w:r>
    </w:p>
    <w:p>
      <w:pPr>
        <w:spacing w:after="40"/>
      </w:pPr>
      <w:r>
        <w:t xml:space="preserve">Supplementary Information</w:t>
      </w:r>
    </w:p>
    <w:p>
      <w:pPr>
        <w:spacing w:after="40"/>
      </w:pPr>
      <w:r>
        <w:t xml:space="preserve">Reconciliation of property, plant and equipment</w:t>
      </w:r>
    </w:p>
    <w:p>
      <w:pPr>
        <w:spacing w:after="40"/>
      </w:pPr>
      <w:r>
        <w:t xml:space="preserve">Reconciliation of borrowings</w:t>
      </w:r>
    </w:p>
    <w:p>
      <w:pPr>
        <w:spacing w:after="40"/>
      </w:pPr>
      <w:r>
        <w:t xml:space="preserve">Approval of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AdminLess Composition Demo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and are signed on its behalf by the directors whose signatures appear in the approval section of this report.</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AdminLess Composition Demo (Pty) Ltd for the year ended 31 march 2026.</w:t>
      </w:r>
    </w:p>
    <w:p>
      <w:pPr>
        <w:spacing w:after="40"/>
      </w:pPr>
      <w:r>
        <w:rPr>
          <w:b/>
          <w:sz w:val="20"/>
          <w:szCs w:val="20"/>
        </w:rPr>
        <w:t xml:space="preserve">1. Nature of business</w:t>
      </w:r>
    </w:p>
    <w:p>
      <w:pPr>
        <w:spacing w:after="120"/>
      </w:pPr>
      <w:r>
        <w:t xml:space="preserve">The company is engaged in Manufacture and distribution of industrial equipment.</w:t>
      </w:r>
    </w:p>
    <w:p>
      <w:pPr>
        <w:spacing w:after="40"/>
      </w:pPr>
      <w:r>
        <w:rPr>
          <w:b/>
          <w:sz w:val="20"/>
          <w:szCs w:val="20"/>
        </w:rPr>
        <w:t xml:space="preserve">2. Review of financial results and activities</w:t>
      </w:r>
    </w:p>
    <w:p>
      <w:pPr>
        <w:spacing w:after="120"/>
      </w:pPr>
      <w:r>
        <w:t xml:space="preserve">The financial results and position of the company are fully set out in the annual financial statements and require no further comment. The directors consider that the statements fairly present the financial affairs of the company.</w:t>
      </w:r>
    </w:p>
    <w:p>
      <w:pPr>
        <w:spacing w:after="40"/>
      </w:pPr>
      <w:r>
        <w:rPr>
          <w:b/>
          <w:sz w:val="20"/>
          <w:szCs w:val="20"/>
        </w:rPr>
        <w:t xml:space="preserve">3.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4. Events after the reporting period</w:t>
      </w:r>
    </w:p>
    <w:p>
      <w:pPr>
        <w:spacing w:after="120"/>
      </w:pPr>
      <w:r>
        <w:t xml:space="preserve">The directors are not aware of any material event which occurred after the reporting date and up to the date of this report that would require adjustment to, or disclosure in, the annual financial statements, other than those disclosed in the notes.</w:t>
      </w:r>
    </w:p>
    <w:p>
      <w:pPr>
        <w:spacing w:after="40"/>
      </w:pPr>
      <w:r>
        <w:rPr>
          <w:b/>
          <w:sz w:val="20"/>
          <w:szCs w:val="20"/>
        </w:rPr>
        <w:t xml:space="preserve">5. Directors</w:t>
      </w:r>
    </w:p>
    <w:p>
      <w:pPr>
        <w:spacing w:after="120"/>
      </w:pPr>
      <w:r>
        <w:t xml:space="preserve">The directors in office at the date of this report are S. Chairperson and M. Finance Director.</w:t>
      </w:r>
    </w:p>
    <w:p>
      <w:pPr>
        <w:spacing w:after="40"/>
      </w:pPr>
      <w:r>
        <w:rPr>
          <w:b/>
          <w:sz w:val="20"/>
          <w:szCs w:val="20"/>
        </w:rPr>
        <w:t xml:space="preserve">6. Company secretary</w:t>
      </w:r>
    </w:p>
    <w:p>
      <w:pPr>
        <w:spacing w:after="120"/>
      </w:pPr>
      <w:r>
        <w:t xml:space="preserve">The company secretary is L. Company Secretary, and the registered office of the company is 15 Enterprise Boulevard, Johannesburg, 2001.</w:t>
      </w:r>
    </w:p>
    <w:p>
      <w:pPr>
        <w:spacing w:after="40"/>
      </w:pPr>
      <w:r>
        <w:rPr>
          <w:b/>
          <w:sz w:val="20"/>
          <w:szCs w:val="20"/>
        </w:rPr>
        <w:t xml:space="preserve">7. Auditors</w:t>
      </w:r>
    </w:p>
    <w:p>
      <w:pPr>
        <w:spacing w:after="120"/>
      </w:pPr>
      <w:r>
        <w:t xml:space="preserve">The company's auditors are National Assurance Inc..</w:t>
      </w:r>
    </w:p>
    <w:p>
      <w:pPr>
        <w:pStyle w:val="Heading1"/>
        <w:spacing w:after="120"/>
      </w:pPr>
      <w:r>
        <w:rPr>
          <w:b/>
          <w:sz w:val="26"/>
          <w:szCs w:val="26"/>
        </w:rPr>
        <w:t xml:space="preserve">Independent Auditor's Report</w:t>
      </w:r>
    </w:p>
    <w:p>
      <w:pPr>
        <w:spacing w:after="120"/>
      </w:pPr>
      <w:r>
        <w:t xml:space="preserve">To the shareholders of AdminLess Composition Demo (Pty) Ltd</w:t>
      </w:r>
    </w:p>
    <w:p>
      <w:pPr>
        <w:spacing w:after="120"/>
      </w:pPr>
      <w:r>
        <w:t xml:space="preserve">The independent auditors of the company are National Assurance Inc.. Their report on these annual financial statements is addressed to the shareholders and will be issued upon completion of the audit engagement.</w:t>
      </w:r>
    </w:p>
    <w:p>
      <w:pPr>
        <w:spacing w:after="120"/>
      </w:pPr>
      <w:r>
        <w:t xml:space="preserve">Pending receipt of the signed auditor's report, this page is reserved for the independent auditor's report expressing an opinion on whether the annual financial statements present fairly, in all material respects, the financial position of the company as at the reporting date and its financial performance and cash flows for the year then ended, in accordance with the applicable financial reporting framework and the requirements of the Companies Act of South Africa.</w:t>
      </w:r>
    </w:p>
    <w:p>
      <w:pPr>
        <w:pStyle w:val="Heading1"/>
        <w:spacing w:after="120"/>
      </w:pPr>
      <w:r>
        <w:rPr>
          <w:b/>
          <w:sz w:val="26"/>
          <w:szCs w:val="26"/>
        </w:rPr>
        <w:t xml:space="preserve">Corporate Information</w:t>
      </w:r>
    </w:p>
    <w:p>
      <w:pPr>
        <w:spacing w:after="60"/>
      </w:pPr>
      <w:r>
        <w:rPr>
          <w:b/>
          <w:sz w:val="20"/>
          <w:szCs w:val="20"/>
        </w:rPr>
        <w:t xml:space="preserve">Entity Identity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name</w:t>
            </w:r>
          </w:p>
        </w:tc>
        <w:tc>
          <w:tcPr>
            <w:tcW w:w="1500" w:type="dxa"/>
            <w:shd w:val="clear" w:color="auto" w:fill="F2F2F2"/>
          </w:tcPr>
          <w:p>
            <w:pPr>
              <w:jc w:val="right"/>
              <w:spacing w:after="20"/>
            </w:pPr>
            <w:r>
              <w:rPr>
                <w:b/>
                <w:sz w:val="18"/>
                <w:szCs w:val="18"/>
              </w:rPr>
              <w:t xml:space="preserve">AdminLess Composition Demo (Pty) Ltd</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Registration number</w:t>
            </w:r>
          </w:p>
        </w:tc>
        <w:tc>
          <w:tcPr>
            <w:tcW w:w="1500" w:type="dxa"/>
            <w:shd w:val="clear" w:color="auto" w:fill="F2F2F2"/>
          </w:tcPr>
          <w:p>
            <w:pPr>
              <w:jc w:val="right"/>
              <w:spacing w:after="20"/>
            </w:pPr>
            <w:r>
              <w:rPr>
                <w:b/>
                <w:sz w:val="18"/>
                <w:szCs w:val="18"/>
              </w:rPr>
              <w:t xml:space="preserve">2019/440440/07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Trading name</w:t>
            </w:r>
          </w:p>
        </w:tc>
        <w:tc>
          <w:tcPr>
            <w:tcW w:w="1500" w:type="dxa"/>
            <w:shd w:val="clear" w:color="auto" w:fill="F2F2F2"/>
          </w:tcPr>
          <w:p>
            <w:pPr>
              <w:jc w:val="right"/>
              <w:spacing w:after="20"/>
            </w:pPr>
            <w:r>
              <w:rPr>
                <w:b/>
                <w:sz w:val="18"/>
                <w:szCs w:val="18"/>
              </w:rPr>
              <w:t xml:space="preserve">Composition Demo</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Nature of business</w:t>
            </w:r>
          </w:p>
        </w:tc>
        <w:tc>
          <w:tcPr>
            <w:tcW w:w="1500" w:type="dxa"/>
            <w:shd w:val="clear" w:color="auto" w:fill="F2F2F2"/>
          </w:tcPr>
          <w:p>
            <w:pPr>
              <w:jc w:val="right"/>
              <w:spacing w:after="20"/>
            </w:pPr>
            <w:r>
              <w:rPr>
                <w:b/>
                <w:sz w:val="18"/>
                <w:szCs w:val="18"/>
              </w:rPr>
              <w:t xml:space="preserve">Manufacture and distribution of industrial equipment.</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framework</w:t>
            </w:r>
          </w:p>
        </w:tc>
        <w:tc>
          <w:tcPr>
            <w:tcW w:w="1500" w:type="dxa"/>
            <w:shd w:val="clear" w:color="auto" w:fill="F2F2F2"/>
          </w:tcPr>
          <w:p>
            <w:pPr>
              <w:jc w:val="right"/>
              <w:spacing w:after="20"/>
            </w:pPr>
            <w:r>
              <w:rPr>
                <w:b/>
                <w:sz w:val="18"/>
                <w:szCs w:val="18"/>
              </w:rPr>
              <w:t xml:space="preserve">IFRS for SMEs</w:t>
            </w:r>
          </w:p>
        </w:tc>
      </w:tr>
    </w:tbl>
    <w:p>
      <w:pPr>
        <w:spacing w:after="40"/>
      </w:pPr>
      <w:r>
        <w:t xml:space="preserve"/>
      </w:r>
    </w:p>
    <w:p>
      <w:pPr>
        <w:spacing w:after="120"/>
      </w:pPr>
      <w:r>
        <w:t xml:space="preserve"/>
      </w:r>
    </w:p>
    <w:p>
      <w:pPr>
        <w:spacing w:after="60"/>
      </w:pPr>
      <w:r>
        <w:rPr>
          <w:b/>
          <w:sz w:val="20"/>
          <w:szCs w:val="20"/>
        </w:rPr>
        <w:t xml:space="preserve">Addresses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p>
      <w:pPr>
        <w:spacing w:after="120"/>
      </w:pPr>
      <w:r>
        <w:t xml:space="preserve"/>
      </w:r>
    </w:p>
    <w:p>
      <w:pPr>
        <w:spacing w:after="60"/>
      </w:pPr>
      <w:r>
        <w:rPr>
          <w:b/>
          <w:sz w:val="20"/>
          <w:szCs w:val="20"/>
        </w:rPr>
        <w:t xml:space="preserve">Governance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Auditor</w:t>
            </w:r>
          </w:p>
        </w:tc>
        <w:tc>
          <w:tcPr>
            <w:tcW w:w="1500" w:type="dxa"/>
            <w:shd w:val="clear" w:color="auto" w:fill="F2F2F2"/>
          </w:tcPr>
          <w:p>
            <w:pPr>
              <w:jc w:val="right"/>
              <w:spacing w:after="20"/>
            </w:pPr>
            <w:r>
              <w:rPr>
                <w:b/>
                <w:sz w:val="18"/>
                <w:szCs w:val="18"/>
              </w:rPr>
              <w:t xml:space="preserve">National Assurance Inc.</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Authorised representative</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p>
      <w:pPr>
        <w:spacing w:after="120"/>
      </w:pPr>
      <w:r>
        <w:t xml:space="preserve"/>
      </w:r>
    </w:p>
    <w:p>
      <w:pPr>
        <w:spacing w:after="60"/>
      </w:pPr>
      <w:r>
        <w:rPr>
          <w:b/>
          <w:sz w:val="20"/>
          <w:szCs w:val="20"/>
        </w:rPr>
        <w:t xml:space="preserve">Directors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S. Chairperson
M. Finance Director</w:t>
            </w:r>
          </w:p>
        </w:tc>
      </w:tr>
    </w:tbl>
    <w:p>
      <w:pPr>
        <w:spacing w:after="40"/>
      </w:pPr>
      <w:r>
        <w:t xml:space="preserve"/>
      </w:r>
    </w:p>
    <w:p>
      <w:pPr>
        <w:spacing w:after="120"/>
      </w:pPr>
      <w:r>
        <w:t xml:space="preserve"/>
      </w:r>
    </w:p>
    <w:p>
      <w:pPr>
        <w:spacing w:after="60"/>
      </w:pPr>
      <w:r>
        <w:rPr>
          <w:b/>
          <w:sz w:val="20"/>
          <w:szCs w:val="20"/>
        </w:rPr>
        <w:t xml:space="preserve">Engagement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period</w:t>
            </w:r>
          </w:p>
        </w:tc>
        <w:tc>
          <w:tcPr>
            <w:tcW w:w="1500" w:type="dxa"/>
            <w:shd w:val="clear" w:color="auto" w:fill="F2F2F2"/>
          </w:tcPr>
          <w:p>
            <w:pPr>
              <w:jc w:val="right"/>
              <w:spacing w:after="20"/>
            </w:pPr>
            <w:r>
              <w:rPr>
                <w:b/>
                <w:sz w:val="18"/>
                <w:szCs w:val="18"/>
              </w:rPr>
              <w:t xml:space="preserve">Year ended 31 March 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Functional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Independent Audit</w:t>
            </w:r>
          </w:p>
        </w:tc>
      </w:tr>
    </w:tbl>
    <w:p>
      <w:pPr>
        <w:spacing w:after="40"/>
      </w:pPr>
      <w:r>
        <w:t xml:space="preserve"/>
      </w:r>
    </w:p>
    <w:p>
      <w:pPr>
        <w:pStyle w:val="Heading1"/>
        <w:spacing w:after="120"/>
      </w:pPr>
      <w:r>
        <w:rPr>
          <w:b/>
          <w:sz w:val="24"/>
          <w:szCs w:val="24"/>
        </w:rPr>
        <w:t xml:space="preserve">Statement of Financial Position</w:t>
      </w:r>
    </w:p>
    <w:p>
      <w:pPr>
        <w:spacing w:after="40"/>
      </w:pPr>
      <w:r>
        <w:rPr>
          <w:i/>
          <w:color w:val="595959"/>
        </w:rPr>
        <w:t xml:space="preserve">As at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Property, plant and equipment</w:t>
            </w:r>
          </w:p>
        </w:tc>
        <w:tc>
          <w:tcPr>
            <w:tcW w:w="1500" w:type="dxa"/>
          </w:tcPr>
          <w:p>
            <w:pPr>
              <w:jc w:val="left"/>
              <w:spacing w:after="20"/>
            </w:pPr>
            <w:r>
              <w:rPr>
                <w:sz w:val="18"/>
                <w:szCs w:val="18"/>
              </w:rPr>
              <w:t xml:space="preserve">5</w:t>
            </w:r>
          </w:p>
        </w:tc>
        <w:tc>
          <w:tcPr>
            <w:tcW w:w="1500" w:type="dxa"/>
          </w:tcPr>
          <w:p>
            <w:pPr>
              <w:jc w:val="right"/>
              <w:spacing w:after="20"/>
            </w:pPr>
            <w:r>
              <w:rPr>
                <w:sz w:val="18"/>
                <w:szCs w:val="18"/>
              </w:rPr>
              <w:t xml:space="preserve">8,500,000.00</w:t>
            </w:r>
          </w:p>
        </w:tc>
      </w:tr>
      <w:tr>
        <w:tc>
          <w:tcPr>
            <w:tcW w:w="6026" w:type="dxa"/>
          </w:tcPr>
          <w:p>
            <w:pPr>
              <w:jc w:val="left"/>
              <w:spacing w:after="20"/>
            </w:pPr>
            <w:r>
              <w:rPr>
                <w:sz w:val="18"/>
                <w:szCs w:val="18"/>
              </w:rPr>
              <w:t xml:space="preserve">Inventories</w:t>
            </w:r>
          </w:p>
        </w:tc>
        <w:tc>
          <w:tcPr>
            <w:tcW w:w="1500" w:type="dxa"/>
          </w:tcPr>
          <w:p>
            <w:pPr>
              <w:jc w:val="left"/>
              <w:spacing w:after="20"/>
            </w:pPr>
            <w:r>
              <w:rPr>
                <w:sz w:val="18"/>
                <w:szCs w:val="18"/>
              </w:rPr>
              <w:t xml:space="preserve">6</w:t>
            </w:r>
          </w:p>
        </w:tc>
        <w:tc>
          <w:tcPr>
            <w:tcW w:w="1500" w:type="dxa"/>
          </w:tcPr>
          <w:p>
            <w:pPr>
              <w:jc w:val="right"/>
              <w:spacing w:after="20"/>
            </w:pPr>
            <w:r>
              <w:rPr>
                <w:sz w:val="18"/>
                <w:szCs w:val="18"/>
              </w:rPr>
              <w:t xml:space="preserve">2,100,000.00</w:t>
            </w:r>
          </w:p>
        </w:tc>
      </w:tr>
      <w:tr>
        <w:tc>
          <w:tcPr>
            <w:tcW w:w="6026" w:type="dxa"/>
          </w:tcPr>
          <w:p>
            <w:pPr>
              <w:jc w:val="left"/>
              <w:spacing w:after="20"/>
            </w:pPr>
            <w:r>
              <w:rPr>
                <w:sz w:val="18"/>
                <w:szCs w:val="18"/>
              </w:rPr>
              <w:t xml:space="preserve">Trade and other receivables</w:t>
            </w:r>
          </w:p>
        </w:tc>
        <w:tc>
          <w:tcPr>
            <w:tcW w:w="1500" w:type="dxa"/>
          </w:tcPr>
          <w:p>
            <w:pPr>
              <w:jc w:val="left"/>
              <w:spacing w:after="20"/>
            </w:pPr>
            <w:r>
              <w:rPr>
                <w:sz w:val="18"/>
                <w:szCs w:val="18"/>
              </w:rPr>
              <w:t xml:space="preserve">7</w:t>
            </w:r>
          </w:p>
        </w:tc>
        <w:tc>
          <w:tcPr>
            <w:tcW w:w="1500" w:type="dxa"/>
          </w:tcPr>
          <w:p>
            <w:pPr>
              <w:jc w:val="right"/>
              <w:spacing w:after="20"/>
            </w:pPr>
            <w:r>
              <w:rPr>
                <w:sz w:val="18"/>
                <w:szCs w:val="18"/>
              </w:rPr>
              <w:t xml:space="preserve">1,650,000.00</w:t>
            </w:r>
          </w:p>
        </w:tc>
      </w:tr>
      <w:tr>
        <w:tc>
          <w:tcPr>
            <w:tcW w:w="6026" w:type="dxa"/>
          </w:tcPr>
          <w:p>
            <w:pPr>
              <w:jc w:val="left"/>
              <w:spacing w:after="20"/>
            </w:pPr>
            <w:r>
              <w:rPr>
                <w:sz w:val="18"/>
                <w:szCs w:val="18"/>
              </w:rPr>
              <w:t xml:space="preserve">Cash and cash equivalents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980,000.00</w:t>
            </w:r>
          </w:p>
        </w:tc>
      </w:tr>
      <w:tr>
        <w:tc>
          <w:tcPr>
            <w:tcW w:w="6026" w:type="dxa"/>
          </w:tcPr>
          <w:p>
            <w:pPr>
              <w:jc w:val="left"/>
              <w:spacing w:after="20"/>
            </w:pPr>
            <w:r>
              <w:rPr>
                <w:b/>
                <w:sz w:val="18"/>
                <w:szCs w:val="18"/>
              </w:rPr>
              <w:t xml:space="preserve">Total 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13,230,000.00</w:t>
            </w:r>
          </w:p>
        </w:tc>
      </w:tr>
      <w:tr>
        <w:tc>
          <w:tcPr>
            <w:tcW w:w="6026" w:type="dxa"/>
          </w:tcPr>
          <w:p>
            <w:pPr>
              <w:jc w:val="left"/>
              <w:spacing w:after="20"/>
            </w:pPr>
            <w:r>
              <w:rPr>
                <w:sz w:val="18"/>
                <w:szCs w:val="18"/>
              </w:rPr>
              <w:t xml:space="preserve">Share capital</w:t>
            </w:r>
          </w:p>
        </w:tc>
        <w:tc>
          <w:tcPr>
            <w:tcW w:w="1500" w:type="dxa"/>
          </w:tcPr>
          <w:p>
            <w:pPr>
              <w:jc w:val="left"/>
              <w:spacing w:after="20"/>
            </w:pPr>
            <w:r>
              <w:rPr>
                <w:sz w:val="18"/>
                <w:szCs w:val="18"/>
              </w:rPr>
              <w:t xml:space="preserve">14</w:t>
            </w:r>
          </w:p>
        </w:tc>
        <w:tc>
          <w:tcPr>
            <w:tcW w:w="1500" w:type="dxa"/>
          </w:tcPr>
          <w:p>
            <w:pPr>
              <w:jc w:val="right"/>
              <w:spacing w:after="20"/>
            </w:pPr>
            <w:r>
              <w:rPr>
                <w:sz w:val="18"/>
                <w:szCs w:val="18"/>
              </w:rPr>
              <w:t xml:space="preserve">1,000,000.00</w:t>
            </w:r>
          </w:p>
        </w:tc>
      </w:tr>
      <w:tr>
        <w:tc>
          <w:tcPr>
            <w:tcW w:w="6026" w:type="dxa"/>
          </w:tcPr>
          <w:p>
            <w:pPr>
              <w:jc w:val="left"/>
              <w:spacing w:after="20"/>
            </w:pPr>
            <w:r>
              <w:rPr>
                <w:sz w:val="18"/>
                <w:szCs w:val="18"/>
              </w:rPr>
              <w:t xml:space="preserve">Retained earnings</w:t>
            </w:r>
          </w:p>
        </w:tc>
        <w:tc>
          <w:tcPr>
            <w:tcW w:w="1500" w:type="dxa"/>
          </w:tcPr>
          <w:p>
            <w:pPr>
              <w:jc w:val="left"/>
              <w:spacing w:after="20"/>
            </w:pPr>
            <w:r>
              <w:rPr>
                <w:sz w:val="18"/>
                <w:szCs w:val="18"/>
              </w:rPr>
              <w:t xml:space="preserve">14</w:t>
            </w:r>
          </w:p>
        </w:tc>
        <w:tc>
          <w:tcPr>
            <w:tcW w:w="1500" w:type="dxa"/>
          </w:tcPr>
          <w:p>
            <w:pPr>
              <w:jc w:val="right"/>
              <w:spacing w:after="20"/>
            </w:pPr>
            <w:r>
              <w:rPr>
                <w:sz w:val="18"/>
                <w:szCs w:val="18"/>
              </w:rPr>
              <w:t xml:space="preserve">8,230,000.00</w:t>
            </w:r>
          </w:p>
        </w:tc>
      </w:tr>
      <w:tr>
        <w:tc>
          <w:tcPr>
            <w:tcW w:w="6026" w:type="dxa"/>
          </w:tcPr>
          <w:p>
            <w:pPr>
              <w:jc w:val="left"/>
              <w:spacing w:after="20"/>
            </w:pPr>
            <w:r>
              <w:rPr>
                <w:sz w:val="18"/>
                <w:szCs w:val="18"/>
              </w:rPr>
              <w:t xml:space="preserve">Trade and other payables</w:t>
            </w:r>
          </w:p>
        </w:tc>
        <w:tc>
          <w:tcPr>
            <w:tcW w:w="1500" w:type="dxa"/>
          </w:tcPr>
          <w:p>
            <w:pPr>
              <w:jc w:val="left"/>
              <w:spacing w:after="20"/>
            </w:pPr>
            <w:r>
              <w:rPr>
                <w:sz w:val="18"/>
                <w:szCs w:val="18"/>
              </w:rPr>
              <w:t xml:space="preserve">8</w:t>
            </w:r>
          </w:p>
        </w:tc>
        <w:tc>
          <w:tcPr>
            <w:tcW w:w="1500" w:type="dxa"/>
          </w:tcPr>
          <w:p>
            <w:pPr>
              <w:jc w:val="right"/>
              <w:spacing w:after="20"/>
            </w:pPr>
            <w:r>
              <w:rPr>
                <w:sz w:val="18"/>
                <w:szCs w:val="18"/>
              </w:rPr>
              <w:t xml:space="preserve">1,900,000.00</w:t>
            </w:r>
          </w:p>
        </w:tc>
      </w:tr>
      <w:tr>
        <w:tc>
          <w:tcPr>
            <w:tcW w:w="6026" w:type="dxa"/>
          </w:tcPr>
          <w:p>
            <w:pPr>
              <w:jc w:val="left"/>
              <w:spacing w:after="20"/>
            </w:pPr>
            <w:r>
              <w:rPr>
                <w:sz w:val="18"/>
                <w:szCs w:val="18"/>
              </w:rPr>
              <w:t xml:space="preserve">Borrowings</w:t>
            </w:r>
          </w:p>
        </w:tc>
        <w:tc>
          <w:tcPr>
            <w:tcW w:w="1500" w:type="dxa"/>
          </w:tcPr>
          <w:p>
            <w:pPr>
              <w:jc w:val="left"/>
              <w:spacing w:after="20"/>
            </w:pPr>
            <w:r>
              <w:rPr>
                <w:sz w:val="18"/>
                <w:szCs w:val="18"/>
              </w:rPr>
              <w:t xml:space="preserve">9</w:t>
            </w:r>
          </w:p>
        </w:tc>
        <w:tc>
          <w:tcPr>
            <w:tcW w:w="1500" w:type="dxa"/>
          </w:tcPr>
          <w:p>
            <w:pPr>
              <w:jc w:val="right"/>
              <w:spacing w:after="20"/>
            </w:pPr>
            <w:r>
              <w:rPr>
                <w:sz w:val="18"/>
                <w:szCs w:val="18"/>
              </w:rPr>
              <w:t xml:space="preserve">2,100,000.00</w:t>
            </w:r>
          </w:p>
        </w:tc>
      </w:tr>
      <w:tr>
        <w:tc>
          <w:tcPr>
            <w:tcW w:w="6026" w:type="dxa"/>
          </w:tcPr>
          <w:p>
            <w:pPr>
              <w:jc w:val="left"/>
              <w:spacing w:after="20"/>
            </w:pPr>
            <w:r>
              <w:rPr>
                <w:b/>
                <w:sz w:val="18"/>
                <w:szCs w:val="18"/>
              </w:rPr>
              <w:t xml:space="preserve">Total equity and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13,230,000.00</w:t>
            </w:r>
          </w:p>
        </w:tc>
      </w:tr>
    </w:tbl>
    <w:p>
      <w:pPr>
        <w:spacing w:after="60"/>
      </w:pPr>
      <w:r>
        <w:t xml:space="preserve"/>
      </w:r>
    </w:p>
    <w:p>
      <w:pPr>
        <w:pStyle w:val="Heading1"/>
        <w:spacing w:after="120"/>
      </w:pPr>
      <w:r>
        <w:rPr>
          <w:b/>
          <w:sz w:val="24"/>
          <w:szCs w:val="24"/>
        </w:rPr>
        <w:t xml:space="preserve">Statement of Profit or Loss and Other Comprehensive Income</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Revenue</w:t>
            </w:r>
          </w:p>
        </w:tc>
        <w:tc>
          <w:tcPr>
            <w:tcW w:w="1500" w:type="dxa"/>
          </w:tcPr>
          <w:p>
            <w:pPr>
              <w:jc w:val="left"/>
              <w:spacing w:after="20"/>
            </w:pPr>
            <w:r>
              <w:rPr>
                <w:sz w:val="18"/>
                <w:szCs w:val="18"/>
              </w:rPr>
              <w:t xml:space="preserve">4</w:t>
            </w:r>
          </w:p>
        </w:tc>
        <w:tc>
          <w:tcPr>
            <w:tcW w:w="1500" w:type="dxa"/>
          </w:tcPr>
          <w:p>
            <w:pPr>
              <w:jc w:val="right"/>
              <w:spacing w:after="20"/>
            </w:pPr>
            <w:r>
              <w:rPr>
                <w:sz w:val="18"/>
                <w:szCs w:val="18"/>
              </w:rPr>
              <w:t xml:space="preserve">18,500,000.00</w:t>
            </w:r>
          </w:p>
        </w:tc>
      </w:tr>
      <w:tr>
        <w:tc>
          <w:tcPr>
            <w:tcW w:w="6026" w:type="dxa"/>
          </w:tcPr>
          <w:p>
            <w:pPr>
              <w:jc w:val="left"/>
              <w:spacing w:after="20"/>
            </w:pPr>
            <w:r>
              <w:rPr>
                <w:sz w:val="18"/>
                <w:szCs w:val="18"/>
              </w:rPr>
              <w:t xml:space="preserve">Expenses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14,200,000.00</w:t>
            </w:r>
          </w:p>
        </w:tc>
      </w:tr>
      <w:tr>
        <w:tc>
          <w:tcPr>
            <w:tcW w:w="6026" w:type="dxa"/>
          </w:tcPr>
          <w:p>
            <w:pPr>
              <w:jc w:val="left"/>
              <w:spacing w:after="20"/>
            </w:pPr>
            <w:r>
              <w:rPr>
                <w:sz w:val="18"/>
                <w:szCs w:val="18"/>
              </w:rPr>
              <w:t xml:space="preserve">Finance costs</w:t>
            </w:r>
          </w:p>
        </w:tc>
        <w:tc>
          <w:tcPr>
            <w:tcW w:w="1500" w:type="dxa"/>
          </w:tcPr>
          <w:p>
            <w:pPr>
              <w:jc w:val="left"/>
              <w:spacing w:after="20"/>
            </w:pPr>
            <w:r>
              <w:rPr>
                <w:sz w:val="18"/>
                <w:szCs w:val="18"/>
              </w:rPr>
              <w:t xml:space="preserve">9</w:t>
            </w:r>
          </w:p>
        </w:tc>
        <w:tc>
          <w:tcPr>
            <w:tcW w:w="1500" w:type="dxa"/>
          </w:tcPr>
          <w:p>
            <w:pPr>
              <w:jc w:val="right"/>
              <w:spacing w:after="20"/>
            </w:pPr>
            <w:r>
              <w:rPr>
                <w:sz w:val="18"/>
                <w:szCs w:val="18"/>
              </w:rPr>
              <w:t xml:space="preserve">420,000.00</w:t>
            </w:r>
          </w:p>
        </w:tc>
      </w:tr>
      <w:tr>
        <w:tc>
          <w:tcPr>
            <w:tcW w:w="6026" w:type="dxa"/>
          </w:tcPr>
          <w:p>
            <w:pPr>
              <w:jc w:val="left"/>
              <w:spacing w:after="20"/>
            </w:pPr>
            <w:r>
              <w:rPr>
                <w:sz w:val="18"/>
                <w:szCs w:val="18"/>
              </w:rPr>
              <w:t xml:space="preserve">Tax expense</w:t>
            </w:r>
          </w:p>
        </w:tc>
        <w:tc>
          <w:tcPr>
            <w:tcW w:w="1500" w:type="dxa"/>
          </w:tcPr>
          <w:p>
            <w:pPr>
              <w:jc w:val="left"/>
              <w:spacing w:after="20"/>
            </w:pPr>
            <w:r>
              <w:rPr>
                <w:sz w:val="18"/>
                <w:szCs w:val="18"/>
              </w:rPr>
              <w:t xml:space="preserve">11</w:t>
            </w:r>
          </w:p>
        </w:tc>
        <w:tc>
          <w:tcPr>
            <w:tcW w:w="1500" w:type="dxa"/>
          </w:tcPr>
          <w:p>
            <w:pPr>
              <w:jc w:val="right"/>
              <w:spacing w:after="20"/>
            </w:pPr>
            <w:r>
              <w:rPr>
                <w:sz w:val="18"/>
                <w:szCs w:val="18"/>
              </w:rPr>
              <w:t xml:space="preserve">972,500.00</w:t>
            </w:r>
          </w:p>
        </w:tc>
      </w:tr>
      <w:tr>
        <w:tc>
          <w:tcPr>
            <w:tcW w:w="6026" w:type="dxa"/>
          </w:tcPr>
          <w:p>
            <w:pPr>
              <w:jc w:val="left"/>
              <w:spacing w:after="20"/>
            </w:pPr>
            <w:r>
              <w:rPr>
                <w:b/>
                <w:sz w:val="18"/>
                <w:szCs w:val="18"/>
              </w:rPr>
              <w:t xml:space="preserve">Profit before tax</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3,880,000.00</w:t>
            </w:r>
          </w:p>
        </w:tc>
      </w:tr>
    </w:tbl>
    <w:p>
      <w:pPr>
        <w:spacing w:after="60"/>
      </w:pPr>
      <w:r>
        <w:t xml:space="preserve"/>
      </w:r>
    </w:p>
    <w:p>
      <w:pPr>
        <w:pStyle w:val="Heading1"/>
        <w:spacing w:after="120"/>
      </w:pPr>
      <w:r>
        <w:rPr>
          <w:b/>
          <w:sz w:val="24"/>
          <w:szCs w:val="24"/>
        </w:rPr>
        <w:t xml:space="preserve">Statement of Changes in Equity</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b/>
                <w:sz w:val="18"/>
                <w:szCs w:val="18"/>
              </w:rPr>
              <w:t xml:space="preserve">Opening equity</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6,322,500.00</w:t>
            </w:r>
          </w:p>
        </w:tc>
      </w:tr>
      <w:tr>
        <w:tc>
          <w:tcPr>
            <w:tcW w:w="6026" w:type="dxa"/>
          </w:tcPr>
          <w:p>
            <w:pPr>
              <w:jc w:val="left"/>
              <w:spacing w:after="20"/>
            </w:pPr>
            <w:r>
              <w:rPr>
                <w:sz w:val="18"/>
                <w:szCs w:val="18"/>
              </w:rPr>
              <w:t xml:space="preserve">Profit for the period</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2,907,500.00</w:t>
            </w:r>
          </w:p>
        </w:tc>
      </w:tr>
      <w:tr>
        <w:tc>
          <w:tcPr>
            <w:tcW w:w="6026" w:type="dxa"/>
          </w:tcPr>
          <w:p>
            <w:pPr>
              <w:jc w:val="left"/>
              <w:spacing w:after="20"/>
            </w:pPr>
            <w:r>
              <w:rPr>
                <w:b/>
                <w:sz w:val="18"/>
                <w:szCs w:val="18"/>
              </w:rPr>
              <w:t xml:space="preserve">Closing equity</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9,230,000.00</w:t>
            </w:r>
          </w:p>
        </w:tc>
      </w:tr>
    </w:tbl>
    <w:p>
      <w:pPr>
        <w:spacing w:after="60"/>
      </w:pPr>
      <w:r>
        <w:t xml:space="preserve"/>
      </w:r>
    </w:p>
    <w:p>
      <w:pPr>
        <w:pStyle w:val="Heading1"/>
        <w:spacing w:after="120"/>
      </w:pPr>
      <w:r>
        <w:rPr>
          <w:b/>
          <w:sz w:val="24"/>
          <w:szCs w:val="24"/>
        </w:rPr>
        <w:t xml:space="preserve">Statement of Cash Flows</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Net cash from operating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3,100,000.00</w:t>
            </w:r>
          </w:p>
        </w:tc>
      </w:tr>
      <w:tr>
        <w:tc>
          <w:tcPr>
            <w:tcW w:w="6026" w:type="dxa"/>
          </w:tcPr>
          <w:p>
            <w:pPr>
              <w:jc w:val="left"/>
              <w:spacing w:after="20"/>
            </w:pPr>
            <w:r>
              <w:rPr>
                <w:sz w:val="18"/>
                <w:szCs w:val="18"/>
              </w:rPr>
              <w:t xml:space="preserve">Net cash from investing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(1,250,000.00)</w:t>
            </w:r>
          </w:p>
        </w:tc>
      </w:tr>
      <w:tr>
        <w:tc>
          <w:tcPr>
            <w:tcW w:w="6026" w:type="dxa"/>
          </w:tcPr>
          <w:p>
            <w:pPr>
              <w:jc w:val="left"/>
              <w:spacing w:after="20"/>
            </w:pPr>
            <w:r>
              <w:rPr>
                <w:sz w:val="18"/>
                <w:szCs w:val="18"/>
              </w:rPr>
              <w:t xml:space="preserve">Net cash from financing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(870,000.00)</w:t>
            </w:r>
          </w:p>
        </w:tc>
      </w:tr>
    </w:tbl>
    <w:p>
      <w:pPr>
        <w:spacing w:after="60"/>
      </w:pPr>
      <w:r>
        <w:t xml:space="preserve"/>
      </w:r>
    </w:p>
    <w:p>
      <w:pPr>
        <w:pStyle w:val="Heading1"/>
        <w:spacing w:after="120"/>
      </w:pPr>
      <w:r>
        <w:rPr>
          <w:b/>
          <w:sz w:val="26"/>
          <w:szCs w:val="26"/>
        </w:rPr>
        <w:t xml:space="preserve">Significant Accounting Policies</w:t>
      </w:r>
    </w:p>
    <w:p>
      <w:pPr>
        <w:spacing w:after="120"/>
      </w:pPr>
      <w:r>
        <w:t xml:space="preserve">The following accounting policies are consistent with IFRS for SMEs and have been applied in preparing these annual financial statements.</w:t>
      </w:r>
    </w:p>
    <w:p>
      <w:pPr>
        <w:pStyle w:val="Heading2"/>
        <w:spacing w:after="120"/>
      </w:pPr>
      <w:r>
        <w:rPr>
          <w:b/>
          <w:sz w:val="20"/>
          <w:szCs w:val="20"/>
        </w:rPr>
        <w:t xml:space="preserve">Basis of preparation</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Intangible assets other than goodwill</w:t>
      </w:r>
    </w:p>
    <w:p>
      <w:pPr>
        <w:spacing w:after="120"/>
      </w:pPr>
      <w:r>
        <w:t xml:space="preserve">An intangible asset is recognised when it is identifiable, the entity controls it, it is probable that future economic benefits will flow to the entity, and its cost can be measured reliably. Internally generated brands, logos, publishing titles, customer lists and items similar in substance are not recognised as intangible assets. Research expenditure is recognised as an expense when incurred. Development expenditure is capitalised only when the recognition criteria in Section 18 are met. Intangible assets are measured initially at cost. Intangible assets are subsequently carried at cost less accumulated amortisation and impairment losses and are amortised on a systematic basis over their useful lives. If the useful life cannot be established reliably, the life is presumed not to exceed ten years.</w:t>
      </w:r>
    </w:p>
    <w:p>
      <w:pPr>
        <w:pStyle w:val="Heading2"/>
        <w:spacing w:after="120"/>
      </w:pPr>
      <w:r>
        <w:rPr>
          <w:b/>
          <w:sz w:val="20"/>
          <w:szCs w:val="20"/>
        </w:rPr>
        <w:t xml:space="preserve">Investment property</w:t>
      </w:r>
    </w:p>
    <w:p>
      <w:pPr>
        <w:spacing w:after="120"/>
      </w:pPr>
      <w:r>
        <w:t xml:space="preserve">Investment property is property (land or a building, or part of a building, or both) held by the owner or by the lessee under a finance lease to earn rentals or for capital appreciation, or both, rather than for use in the production or supply of goods or services or for administrative purposes, or for sale in the ordinary course of business. Investment property is measured initially at cost. Investment property whose fair value can be measured reliably without undue cost or effort is measured at fair value at each reporting date, with changes in fair value recognised in profit or loss. All other investment property is accounted for as property, plant and equipment using the cost-depreciation-impairment model in Section 17.</w:t>
      </w:r>
    </w:p>
    <w:p>
      <w:pPr>
        <w:pStyle w:val="Heading2"/>
        <w:spacing w:after="120"/>
      </w:pPr>
      <w:r>
        <w:rPr>
          <w:b/>
          <w:sz w:val="20"/>
          <w:szCs w:val="20"/>
        </w:rPr>
        <w:t xml:space="preserve">Leases</w:t>
      </w:r>
    </w:p>
    <w:p>
      <w:pPr>
        <w:spacing w:after="120"/>
      </w:pPr>
      <w:r>
        <w:t xml:space="preserve">Leases are classified as finance leases or operating leases. A lease is classified as a finance lease if it transfers substantially all the risks and rewards incidental to ownership. All other leases are classified as operating leases. At the commencement of the lease term, a lessee recognises finance leases as assets and liabilities at amounts equal to the fair value of the leased property or, if lower, the present value of the minimum lease payments. Operating lease payments are recognised as an expense on a straight-line basis over the lease term unless another systematic basis is more representative of the time pattern of the user’s benefit. Finance lease assets are depreciated over the shorter of the lease term and the useful life of the asset, unless there is reasonable certainty that the lessee will obtain ownership. Minimum lease payments are apportioned between the finance charge and the reduction of the outstanding liability.</w:t>
      </w:r>
    </w:p>
    <w:p>
      <w:pPr>
        <w:pStyle w:val="Heading2"/>
        <w:spacing w:after="120"/>
      </w:pPr>
      <w:r>
        <w:rPr>
          <w:b/>
          <w:sz w:val="20"/>
          <w:szCs w:val="20"/>
        </w:rPr>
        <w:t xml:space="preserve">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Inventories</w:t>
      </w:r>
    </w:p>
    <w:p>
      <w:pPr>
        <w:spacing w:after="120"/>
      </w:pPr>
      <w:r>
        <w:t xml:space="preserve">Inventories are measured initially at cost, comprising all costs of purchase, costs of conversion and other costs incurred in bringing the inventories to their present location and condition. Inventories are subsequently measured at the lower of cost and estimated selling price less costs to complete and sell. Cost is assigned using the first-in, first-out or weighted-average cost formula. The same cost formula is used for all inventories having a similar nature and use.</w:t>
      </w:r>
    </w:p>
    <w:p>
      <w:pPr>
        <w:pStyle w:val="Heading2"/>
        <w:spacing w:after="120"/>
      </w:pPr>
      <w:r>
        <w:rPr>
          <w:b/>
          <w:sz w:val="20"/>
          <w:szCs w:val="20"/>
        </w:rPr>
        <w:t xml:space="preserve">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Foreign currency translation</w:t>
      </w:r>
    </w:p>
    <w:p>
      <w:pPr>
        <w:spacing w:after="120"/>
      </w:pPr>
      <w:r>
        <w:t xml:space="preserve">A foreign currency transaction is recorded, on initial recognition in the functional currency, by applying the spot exchange rate at the date of the transaction. At the end of each reporting period, foreign currency monetary items are translated using the closing rate. Non-monetary items measured at historical cost in a foreign currency are not retranslated. Exchange differences are recognised in profit or loss in the period in which they arise, except as otherwise required by the IFRS for SMEs.</w:t>
      </w:r>
    </w:p>
    <w:p>
      <w:pPr>
        <w:pStyle w:val="Heading2"/>
        <w:spacing w:after="120"/>
      </w:pPr>
      <w:r>
        <w:rPr>
          <w:b/>
          <w:sz w:val="20"/>
          <w:szCs w:val="20"/>
        </w:rPr>
        <w:t xml:space="preserve">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Government grants</w:t>
      </w:r>
    </w:p>
    <w:p>
      <w:pPr>
        <w:spacing w:after="120"/>
      </w:pPr>
      <w:r>
        <w:t xml:space="preserve">A government grant is recognised when there is reasonable assurance that the entity will comply with the conditions attaching to it and that the grant will be received. Grants are recognised in income on a systematic basis over the periods in which the entity recognises the related costs for which the grant is intended to compensate. A grant that becomes receivable as compensation for expenses or losses already incurred, or for the purpose of giving immediate financial support with no future related costs, is recognised in income in the period in which it becomes receivable. Government grants related to assets are recognised either as deferred income or by deducting the grant in arriving at the carrying amount of the asset, consistently with the chosen presentation policy.</w:t>
      </w:r>
    </w:p>
    <w:p>
      <w:pPr>
        <w:pStyle w:val="Heading2"/>
        <w:spacing w:after="120"/>
      </w:pPr>
      <w:r>
        <w:rPr>
          <w:b/>
          <w:sz w:val="20"/>
          <w:szCs w:val="20"/>
        </w:rPr>
        <w:t xml:space="preserve">Investments in associates</w:t>
      </w:r>
    </w:p>
    <w:p>
      <w:pPr>
        <w:spacing w:after="120"/>
      </w:pPr>
      <w:r>
        <w:t xml:space="preserve">An associate is an entity, including an unincorporated entity such as a partnership, over which the investor has significant influence and that is neither a subsidiary nor an interest in a joint venture. Significant influence is the power to participate in the financial and operating policy decisions of the associate but is not control or joint control. In the investor’s consolidated financial statements, investments in associates are accounted for using the equity method, unless the investment is measured at fair value through profit or loss or the investor is exempt from preparing consolidated financial statements. In an investor’s separate financial statements, investments in associates are accounted for at cost less impairment, at fair value through profit or loss, or using the equity method.</w:t>
      </w:r>
    </w:p>
    <w:p>
      <w:pPr>
        <w:pStyle w:val="Heading2"/>
        <w:spacing w:after="120"/>
      </w:pPr>
      <w:r>
        <w:rPr>
          <w:b/>
          <w:sz w:val="20"/>
          <w:szCs w:val="20"/>
        </w:rPr>
        <w:t xml:space="preserve">Investments in joint ventures</w:t>
      </w:r>
    </w:p>
    <w:p>
      <w:pPr>
        <w:spacing w:after="120"/>
      </w:pPr>
      <w:r>
        <w:t xml:space="preserve">A joint venture is a contractual arrangement whereby two or more parties undertake an economic activity that is subject to joint control. Joint control is the contractually agreed sharing of control over an economic activity and exists only when the strategic financial and operating decisions require the unanimous consent of the parties sharing control. Jointly controlled entities are accounted for using the equity method in consolidated financial statements, unless measured at fair value through profit or loss. Interests in jointly controlled operations and jointly controlled assets are recognised by including the entity’s share of assets, liabilities, income and expenses.</w:t>
      </w:r>
    </w:p>
    <w:p>
      <w:pPr>
        <w:pStyle w:val="Heading2"/>
        <w:spacing w:after="120"/>
      </w:pPr>
      <w:r>
        <w:rPr>
          <w:b/>
          <w:sz w:val="20"/>
          <w:szCs w:val="20"/>
        </w:rPr>
        <w:t xml:space="preserve">Business combinations and goodwill</w:t>
      </w:r>
    </w:p>
    <w:p>
      <w:pPr>
        <w:spacing w:after="120"/>
      </w:pPr>
      <w:r>
        <w:t xml:space="preserve">All business combinations are accounted for by applying the purchase method. Goodwill acquired in a business combination is recognised as an asset from the acquisition date and represents the future economic benefits arising from assets that are not capable of being individually identified and separately recognised. After initial recognition, the acquirer measures goodwill acquired in a business combination at cost less accumulated amortisation and accumulated impairment losses. Goodwill is considered to have a finite useful life and is amortised on a systematic basis over its useful life. If a reliable estimate of the useful life cannot be made, the life is presumed not to exceed ten years. Goodwill is tested for impairment in accordance with Section 27 when there is an indication of impairment.</w:t>
      </w:r>
    </w:p>
    <w:p>
      <w:pPr>
        <w:pStyle w:val="Heading2"/>
        <w:spacing w:after="120"/>
      </w:pPr>
      <w:r>
        <w:rPr>
          <w:b/>
          <w:sz w:val="20"/>
          <w:szCs w:val="20"/>
        </w:rPr>
        <w:t xml:space="preserve">Share-based payment</w:t>
      </w:r>
    </w:p>
    <w:p>
      <w:pPr>
        <w:spacing w:after="120"/>
      </w:pPr>
      <w:r>
        <w:t xml:space="preserve">Equity-settled share-based payment transactions with employees are measured at the fair value of the equity instruments granted at grant date. The fair value is recognised as an expense with a corresponding increase in equity over the vesting period. Cash-settled share-based payment transactions are measured at the fair value of the liability, remeasured at each reporting date and at the date of settlement, with changes recognised in profit or loss.</w:t>
      </w:r>
    </w:p>
    <w:p>
      <w:pPr>
        <w:pStyle w:val="Heading2"/>
        <w:spacing w:after="120"/>
      </w:pPr>
      <w:r>
        <w:rPr>
          <w:b/>
          <w:sz w:val="20"/>
          <w:szCs w:val="20"/>
        </w:rPr>
        <w:t xml:space="preserve">Hyperinflation</w:t>
      </w:r>
    </w:p>
    <w:p>
      <w:pPr>
        <w:spacing w:after="120"/>
      </w:pPr>
      <w:r>
        <w:t xml:space="preserve">If the functional currency is the currency of a hyperinflationary economy, the financial statements are stated in terms of the measuring unit current at the end of the reporting period in accordance with Section 31. Comparative amounts are also restated. The gain or loss on the net monetary position is included in profit or loss.</w:t>
      </w:r>
    </w:p>
    <w:p>
      <w:pPr>
        <w:pStyle w:val="Heading2"/>
        <w:spacing w:after="120"/>
      </w:pPr>
      <w:r>
        <w:rPr>
          <w:b/>
          <w:sz w:val="20"/>
          <w:szCs w:val="20"/>
        </w:rPr>
        <w:t xml:space="preserve">Consolidated and separate financial statements</w:t>
      </w:r>
    </w:p>
    <w:p>
      <w:pPr>
        <w:spacing w:after="120"/>
      </w:pPr>
      <w:r>
        <w:t xml:space="preserve">A parent presents consolidated financial statements in which it consolidates its investments in subsidiaries, unless it is exempt under Section 9. Control is the power to govern the financial and operating policies of an entity so as to obtain benefits from its activities. Intragroup balances and transactions are eliminated in full. In separate financial statements, investments in subsidiaries, associates and jointly controlled entities are accounted for at cost less impairment, at fair value through profit or loss, or using the equity method.</w:t>
      </w:r>
    </w:p>
    <w:p>
      <w:pPr>
        <w:pStyle w:val="Heading2"/>
        <w:spacing w:after="120"/>
      </w:pPr>
      <w:r>
        <w:rPr>
          <w:b/>
          <w:sz w:val="20"/>
          <w:szCs w:val="20"/>
        </w:rPr>
        <w:t xml:space="preserve">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Financial Statements</w:t>
      </w:r>
    </w:p>
    <w:p>
      <w:pPr>
        <w:pStyle w:val="Heading2"/>
        <w:spacing w:after="120"/>
      </w:pPr>
      <w:r>
        <w:rPr>
          <w:b/>
          <w:sz w:val="20"/>
          <w:szCs w:val="20"/>
        </w:rPr>
        <w:t xml:space="preserve">Note 1. General information</w:t>
      </w:r>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r>
        <w:rPr>
          <w:b/>
          <w:sz w:val="20"/>
          <w:szCs w:val="20"/>
        </w:rPr>
        <w:t xml:space="preserve">Note 2. Basis of preparation</w:t>
      </w:r>
    </w:p>
    <w:p>
      <w:pPr>
        <w:spacing w:after="120"/>
      </w:pPr>
      <w:r>
        <w:t xml:space="preserve">The annual financial statements have been prepared in accordance with the IFRS for SMEs and in the manner required by the applicable companies legislation in the jurisdiction of incorporation. They are presented in the functional and presentation currency of the entity.</w:t>
      </w:r>
    </w:p>
    <w:p>
      <w:pPr>
        <w:spacing w:after="120"/>
      </w:pPr>
      <w:r>
        <w:t xml:space="preserve">The financial statements have been prepared on the historical cost basis, except for financial instruments and other items measured at fair value where required or elected under the IFRS for SMEs, and on the going concern and accrual bases of accounting.</w:t>
      </w:r>
    </w:p>
    <w:p>
      <w:pPr>
        <w:pStyle w:val="Heading2"/>
        <w:spacing w:after="120"/>
      </w:pPr>
      <w:r>
        <w:rPr>
          <w:b/>
          <w:sz w:val="20"/>
          <w:szCs w:val="20"/>
        </w:rPr>
        <w:t xml:space="preserve">Note 3. Significant judgements and sources of estimation uncertainty</w:t>
      </w:r>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spacing w:after="120"/>
      </w:pPr>
      <w:r>
        <w:rPr>
          <w:b/>
        </w:rPr>
        <w:t xml:space="preserve">Significant judgement: 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r>
        <w:rPr>
          <w:b/>
          <w:sz w:val="20"/>
          <w:szCs w:val="20"/>
        </w:rPr>
        <w:t xml:space="preserve">Note 4. Revenue</w:t>
      </w:r>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spacing w:after="40"/>
      </w:pPr>
      <w:r>
        <w:rPr>
          <w:b/>
        </w:rPr>
        <w:t xml:space="preserve">Revenue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Revenue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5. Property, plant and equipment</w:t>
      </w:r>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spacing w:after="40"/>
      </w:pPr>
      <w:r>
        <w:rPr>
          <w:b/>
        </w:rPr>
        <w:t xml:space="preserve">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8,500,000.00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Depreciation</w:t>
            </w:r>
          </w:p>
        </w:tc>
        <w:tc>
          <w:tcPr>
            <w:tcW w:w="1085" w:type="dxa"/>
            <w:shd w:val="clear" w:color="auto" w:fill="F2F2F2"/>
          </w:tcPr>
          <w:p>
            <w:pPr>
              <w:jc w:val="right"/>
              <w:spacing w:after="20"/>
            </w:pPr>
            <w:r>
              <w:rPr>
                <w:b/>
                <w:sz w:val="18"/>
                <w:szCs w:val="18"/>
              </w:rPr>
              <w:t xml:space="preserve">Closing balance</w:t>
            </w:r>
          </w:p>
        </w:tc>
      </w:tr>
      <w:tr>
        <w:tc>
          <w:tcPr>
            <w:tcW w:w="3600" w:type="dxa"/>
          </w:tcPr>
          <w:p>
            <w:pPr>
              <w:jc w:val="left"/>
              <w:spacing w:after="20"/>
            </w:pPr>
            <w:r>
              <w:rPr>
                <w:sz w:val="18"/>
                <w:szCs w:val="18"/>
              </w:rPr>
              <w:t xml:space="preserve">Land</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Buildings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Plant and machinery</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Motor vehicles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Office equipment</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Total</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8 500 000</w:t>
            </w:r>
          </w:p>
        </w:tc>
      </w:tr>
    </w:tbl>
    <w:p>
      <w:pPr>
        <w:spacing w:after="40"/>
      </w:pPr>
      <w:r>
        <w:t xml:space="preserve"/>
      </w:r>
    </w:p>
    <w:p>
      <w:pPr>
        <w:spacing w:after="40"/>
      </w:pPr>
      <w:r>
        <w:rPr>
          <w:b/>
        </w:rPr>
        <w:t xml:space="preserve">Property, plant and equipment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8,500,000.00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pStyle w:val="Heading2"/>
        <w:spacing w:after="120"/>
      </w:pPr>
      <w:r>
        <w:rPr>
          <w:b/>
          <w:sz w:val="20"/>
          <w:szCs w:val="20"/>
        </w:rPr>
        <w:t xml:space="preserve">Note 6. Inventories</w:t>
      </w:r>
    </w:p>
    <w:p>
      <w:pPr>
        <w:spacing w:after="120"/>
      </w:pPr>
      <w:r>
        <w:t xml:space="preserve">Inventories are stated at the lower of cost and estimated selling price less costs to complete and sell. The carrying amounts by category and any write-down recognised as an expense are set out below.</w:t>
      </w:r>
    </w:p>
    <w:p>
      <w:pPr>
        <w:spacing w:after="40"/>
      </w:pPr>
      <w:r>
        <w:rPr>
          <w:b/>
        </w:rPr>
        <w:t xml:space="preserve">Inventories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inventories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Raw materials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Work in progress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Finished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Merchandise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Write-down to net realisable value recognised as an expense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Inventories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inventories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Raw materials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Work in progress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Finished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Merchandise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Write-down to net realisable value recognised as an expense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Inventories are stated at the lower of cost and estimated selling price less costs to complete and sell. The carrying amounts by category and any write-down recognised as an expense are set out below.</w:t>
      </w:r>
    </w:p>
    <w:p>
      <w:pPr>
        <w:pStyle w:val="Heading2"/>
        <w:spacing w:after="120"/>
      </w:pPr>
      <w:r>
        <w:rPr>
          <w:b/>
          <w:sz w:val="20"/>
          <w:szCs w:val="20"/>
        </w:rPr>
        <w:t xml:space="preserve">Note 7. Trade and other receivables</w:t>
      </w:r>
    </w:p>
    <w:p>
      <w:pPr>
        <w:spacing w:after="120"/>
      </w:pPr>
      <w:r>
        <w:t xml:space="preserve">Trade and other receivables are basic financial assets measured at amortised cost less any impairment. The analysis of receivables is set out below.</w:t>
      </w:r>
    </w:p>
    <w:p>
      <w:pPr>
        <w:spacing w:after="40"/>
      </w:pPr>
      <w:r>
        <w:rPr>
          <w:b/>
        </w:rPr>
        <w:t xml:space="preserve">Trade and other receivables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receivables — gross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Allowance for impairment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receivables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Prepayments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Trade and other receivables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receivables — gross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Allowance for impairment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receivables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Prepayments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8. Trade and other payables</w:t>
      </w:r>
    </w:p>
    <w:p>
      <w:pPr>
        <w:spacing w:after="120"/>
      </w:pPr>
      <w:r>
        <w:t xml:space="preserve">Trade and other payables are basic financial liabilities measured at amortised cost. The analysis by class is set out below.</w:t>
      </w:r>
    </w:p>
    <w:p>
      <w:pPr>
        <w:spacing w:after="40"/>
      </w:pPr>
      <w:r>
        <w:rPr>
          <w:b/>
        </w:rPr>
        <w:t xml:space="preserve">Trade and other payables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Value added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Accruals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Amounts received in advance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Trade and other payables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Value added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Accruals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Amounts received in advance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9. Borrowings</w:t>
      </w:r>
    </w:p>
    <w:p>
      <w:pPr>
        <w:spacing w:after="120"/>
      </w:pPr>
      <w:r>
        <w:t xml:space="preserve">Borrowings are basic financial liabilities measured at amortised cost using the effective interest method. The analysis of borrowings, including the current and non-current portions, is set out below. Where there has been a breach of loan covenants that has not been remedied at the reporting date, the particulars of the breach are disclosed.</w:t>
      </w:r>
    </w:p>
    <w:p>
      <w:pPr>
        <w:spacing w:after="40"/>
      </w:pPr>
      <w:r>
        <w:rPr>
          <w:b/>
        </w:rPr>
        <w:t xml:space="preserve">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Unsecured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Bank overdrafts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Other movements</w:t>
            </w:r>
          </w:p>
        </w:tc>
        <w:tc>
          <w:tcPr>
            <w:tcW w:w="1085" w:type="dxa"/>
            <w:shd w:val="clear" w:color="auto" w:fill="F2F2F2"/>
          </w:tcPr>
          <w:p>
            <w:pPr>
              <w:jc w:val="left"/>
              <w:spacing w:after="20"/>
            </w:pPr>
            <w:r>
              <w:rPr>
                <w:b/>
                <w:sz w:val="18"/>
                <w:szCs w:val="18"/>
              </w:rPr>
              <w:t xml:space="preserve">Closing balance</w:t>
            </w:r>
          </w:p>
        </w:tc>
      </w:tr>
      <w:tr>
        <w:tc>
          <w:tcPr>
            <w:tcW w:w="3600" w:type="dxa"/>
          </w:tcPr>
          <w:p>
            <w:pPr>
              <w:jc w:val="left"/>
              <w:spacing w:after="20"/>
            </w:pPr>
            <w:r>
              <w:rPr>
                <w:sz w:val="18"/>
                <w:szCs w:val="18"/>
              </w:rPr>
              <w:t xml:space="preserve">Borrowings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left"/>
              <w:spacing w:after="20"/>
            </w:pPr>
            <w:r>
              <w:rPr>
                <w:sz w:val="18"/>
                <w:szCs w:val="18"/>
              </w:rPr>
              <w:t xml:space="preserve">2 100 000</w:t>
            </w:r>
          </w:p>
        </w:tc>
      </w:tr>
    </w:tbl>
    <w:p>
      <w:pPr>
        <w:spacing w:after="40"/>
      </w:pPr>
      <w:r>
        <w:t xml:space="preserve"/>
      </w:r>
    </w:p>
    <w:p>
      <w:pPr>
        <w:spacing w:after="40"/>
      </w:pPr>
      <w:r>
        <w:rPr>
          <w:b/>
        </w:rPr>
        <w:t xml:space="preserve">Borrowings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Unsecured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Bank overdrafts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10. Financial instruments</w:t>
      </w:r>
    </w:p>
    <w:p>
      <w:pPr>
        <w:spacing w:after="120"/>
      </w:pPr>
      <w:r>
        <w:t xml:space="preserve">Financial instruments are classified as basic financial instruments within Section 11 or as other financial instruments within Section 12. Basic debt instruments are measured at amortised cost using the effective interest method, less impairment. Other financial instruments are measured at fair value through profit or loss, except where Section 12 requires or permits cost less impairment.</w:t>
      </w:r>
    </w:p>
    <w:p>
      <w:pPr>
        <w:spacing w:after="120"/>
      </w:pPr>
      <w:r>
        <w:t xml:space="preserve">The carrying amounts of financial assets and financial liabilities by category are set out below.</w:t>
      </w:r>
    </w:p>
    <w:p>
      <w:pPr>
        <w:spacing w:after="40"/>
      </w:pPr>
      <w:r>
        <w:rPr>
          <w:b/>
        </w:rPr>
        <w:t xml:space="preserve">Categories of financial instruments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and cash equivalents</w:t>
            </w:r>
          </w:p>
        </w:tc>
        <w:tc>
          <w:tcPr>
            <w:tcW w:w="1500" w:type="dxa"/>
          </w:tcPr>
          <w:p>
            <w:pPr>
              <w:jc w:val="right"/>
              <w:spacing w:after="20"/>
            </w:pPr>
            <w:r>
              <w:rPr>
                <w:sz w:val="18"/>
                <w:szCs w:val="18"/>
              </w:rPr>
              <w:t xml:space="preserve">980,000.00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assets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assets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liabilities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liabilities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Other movements</w:t>
            </w:r>
          </w:p>
        </w:tc>
        <w:tc>
          <w:tcPr>
            <w:tcW w:w="1085" w:type="dxa"/>
            <w:shd w:val="clear" w:color="auto" w:fill="F2F2F2"/>
          </w:tcPr>
          <w:p>
            <w:pPr>
              <w:jc w:val="left"/>
              <w:spacing w:after="20"/>
            </w:pPr>
            <w:r>
              <w:rPr>
                <w:b/>
                <w:sz w:val="18"/>
                <w:szCs w:val="18"/>
              </w:rPr>
              <w:t xml:space="preserve">Closing balance</w:t>
            </w:r>
          </w:p>
        </w:tc>
      </w:tr>
      <w:tr>
        <w:tc>
          <w:tcPr>
            <w:tcW w:w="3600" w:type="dxa"/>
          </w:tcPr>
          <w:p>
            <w:pPr>
              <w:jc w:val="left"/>
              <w:spacing w:after="20"/>
            </w:pPr>
            <w:r>
              <w:rPr>
                <w:sz w:val="18"/>
                <w:szCs w:val="18"/>
              </w:rPr>
              <w:t xml:space="preserve">Borrowings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left"/>
              <w:spacing w:after="20"/>
            </w:pPr>
            <w:r>
              <w:rPr>
                <w:sz w:val="18"/>
                <w:szCs w:val="18"/>
              </w:rPr>
              <w:t xml:space="preserve">2 100 000</w:t>
            </w:r>
          </w:p>
        </w:tc>
      </w:tr>
    </w:tbl>
    <w:p>
      <w:pPr>
        <w:spacing w:after="40"/>
      </w:pPr>
      <w:r>
        <w:t xml:space="preserve"/>
      </w:r>
    </w:p>
    <w:p>
      <w:pPr>
        <w:spacing w:after="40"/>
      </w:pPr>
      <w:r>
        <w:rPr>
          <w:b/>
        </w:rPr>
        <w:t xml:space="preserve">Categories of financial instruments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and cash equivalents</w:t>
            </w:r>
          </w:p>
        </w:tc>
        <w:tc>
          <w:tcPr>
            <w:tcW w:w="1500" w:type="dxa"/>
          </w:tcPr>
          <w:p>
            <w:pPr>
              <w:jc w:val="right"/>
              <w:spacing w:after="20"/>
            </w:pPr>
            <w:r>
              <w:rPr>
                <w:sz w:val="18"/>
                <w:szCs w:val="18"/>
              </w:rPr>
              <w:t xml:space="preserve">980,000.00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assets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assets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liabilities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liabilities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11. Income tax</w:t>
      </w:r>
    </w:p>
    <w:p>
      <w:pPr>
        <w:spacing w:after="120"/>
      </w:pPr>
      <w:r>
        <w:t xml:space="preserve">The income tax expense comprises current and deferred tax. A reconciliation between the tax expense and the product of accounting profit multiplied by the applicable tax rate is set out below, together with an explanation of changes in the applicable rate where relevant.</w:t>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3,880,000.00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w:t>
            </w:r>
          </w:p>
        </w:tc>
      </w:tr>
      <w:tr>
        <w:tc>
          <w:tcPr>
            <w:tcW w:w="75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3,880,000.00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12. Borrowing costs</w:t>
      </w:r>
    </w:p>
    <w:p>
      <w:pPr>
        <w:spacing w:after="120"/>
      </w:pPr>
      <w:r>
        <w:t xml:space="preserve">All borrowing costs are recognised as an expense in profit or loss in the period in which they are incurred. The amount of borrowing costs recognised as an expense during the period is disclosed with finance costs in profit or loss.</w:t>
      </w:r>
    </w:p>
    <w:p>
      <w:pPr>
        <w:pStyle w:val="Heading2"/>
        <w:spacing w:after="120"/>
      </w:pPr>
      <w:r>
        <w:rPr>
          <w:b/>
          <w:sz w:val="20"/>
          <w:szCs w:val="20"/>
        </w:rPr>
        <w:t xml:space="preserve">Note 13. Related party disclosures</w:t>
      </w:r>
    </w:p>
    <w:p>
      <w:pPr>
        <w:spacing w:after="120"/>
      </w:pPr>
      <w:r>
        <w:t xml:space="preserve">Related party relationships exist between the entity and its parent, subsidiaries, associates, joint ventures, key management personnel and close members of their families, and entities controlled, jointly controlled or significantly influenced by them. Transactions with related parties are entered into in the ordinary course of business.</w:t>
      </w:r>
    </w:p>
    <w:p>
      <w:pPr>
        <w:spacing w:after="120"/>
      </w:pPr>
      <w:r>
        <w:t xml:space="preserve">The nature of related party relationships, information about transactions and outstanding balances, and key management personnel compensation, are set out below.</w:t>
      </w:r>
    </w:p>
    <w:p>
      <w:pPr>
        <w:spacing w:after="40"/>
      </w:pPr>
      <w:r>
        <w:rPr>
          <w:b/>
        </w:rPr>
        <w:t xml:space="preserve">Related party transactions and balances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Related party transactions and balances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14. Share capital and equity</w:t>
      </w:r>
    </w:p>
    <w:p>
      <w:pPr>
        <w:spacing w:after="120"/>
      </w:pPr>
      <w:r>
        <w:t xml:space="preserve">The authorised and issued share capital of the entity, including any shares issued or redeemed during the period and rights, preferences and restrictions, are set out below. For entities without share capital, information equivalent to that required for share capital is presented for each category of equity.</w:t>
      </w:r>
    </w:p>
    <w:p>
      <w:pPr>
        <w:spacing w:after="40"/>
      </w:pPr>
      <w:r>
        <w:rPr>
          <w:b/>
        </w:rPr>
        <w:t xml:space="preserve">Share capital</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Issued 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Authorised share capital — number and nominal amount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 premium</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issued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redeemed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Components of equity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Retained earnings</w:t>
            </w:r>
          </w:p>
        </w:tc>
        <w:tc>
          <w:tcPr>
            <w:tcW w:w="1500" w:type="dxa"/>
          </w:tcPr>
          <w:p>
            <w:pPr>
              <w:jc w:val="right"/>
              <w:spacing w:after="20"/>
            </w:pPr>
            <w:r>
              <w:rPr>
                <w:sz w:val="18"/>
                <w:szCs w:val="18"/>
              </w:rPr>
              <w:t xml:space="preserve">8,230,000.00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reserves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Non-controlling interests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 equity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Share capital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Issued 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Authorised share capital — number and nominal amount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 premium</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issued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redeemed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Components of equity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Retained earnings</w:t>
            </w:r>
          </w:p>
        </w:tc>
        <w:tc>
          <w:tcPr>
            <w:tcW w:w="1500" w:type="dxa"/>
          </w:tcPr>
          <w:p>
            <w:pPr>
              <w:jc w:val="right"/>
              <w:spacing w:after="20"/>
            </w:pPr>
            <w:r>
              <w:rPr>
                <w:sz w:val="18"/>
                <w:szCs w:val="18"/>
              </w:rPr>
              <w:t xml:space="preserve">8,230,000.00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reserves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Non-controlling interests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 equity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15. Events after the end of the reporting period</w:t>
      </w:r>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spacing w:after="120"/>
      </w:pPr>
      <w:r>
        <w:t xml:space="preserve">Accounting estimate: 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pStyle w:val="Heading2"/>
        <w:spacing w:after="120"/>
      </w:pPr>
      <w:r>
        <w:rPr>
          <w:b/>
          <w:sz w:val="20"/>
          <w:szCs w:val="20"/>
        </w:rPr>
        <w:t xml:space="preserve">Note 16. Notes to the statement of cash flows</w:t>
      </w:r>
    </w:p>
    <w:p>
      <w:pPr>
        <w:spacing w:after="120"/>
      </w:pPr>
      <w:r>
        <w:t xml:space="preserve">Cash and cash equivalents comprise cash on hand and demand deposits, and other short-term highly liquid investments readily convertible to known amounts of cash. The reconciliation of profit or loss to cash generated from operations, and the major classes of cash flows, are set out below.</w:t>
      </w:r>
    </w:p>
    <w:p>
      <w:pPr>
        <w:spacing w:after="40"/>
      </w:pPr>
      <w:r>
        <w:rPr>
          <w:b/>
        </w:rPr>
        <w:t xml:space="preserve">Reconciliation of profit to cash generated from operations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3,100,000.00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profit to cash generated from operations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w:t>
            </w:r>
          </w:p>
        </w:tc>
      </w:tr>
      <w:tr>
        <w:tc>
          <w:tcPr>
            <w:tcW w:w="75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w:t>
            </w:r>
          </w:p>
        </w:tc>
      </w:tr>
      <w:tr>
        <w:tc>
          <w:tcPr>
            <w:tcW w:w="75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profit to cash generated from operations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3,100,000.00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1"/>
        <w:spacing w:after="120"/>
      </w:pPr>
      <w:r>
        <w:rPr>
          <w:b/>
          <w:sz w:val="26"/>
          <w:szCs w:val="26"/>
        </w:rPr>
        <w:t xml:space="preserve">Supplementary Information</w:t>
      </w:r>
    </w:p>
    <w:p>
      <w:pPr>
        <w:spacing w:after="120"/>
      </w:pPr>
      <w:r>
        <w:rPr>
          <w:color w:val="595959"/>
        </w:rPr>
        <w:t xml:space="preserve">The schedules set out in this section do not form part of the audited annual financial statements and are presented as supplementary information for the use of the directors and management.</w:t>
      </w:r>
    </w:p>
    <w:p>
      <w:pPr>
        <w:spacing w:after="120"/>
      </w:pPr>
      <w:r>
        <w:rPr>
          <w:color w:val="595959"/>
        </w:rPr>
        <w:t xml:space="preserve">Where prepared, the detailed income statement and the taxation computation of the company are presented in this section. These schedules are unaudited and are provided to support the analysis of the results disclosed in the primary statements.</w:t>
      </w:r>
    </w:p>
    <w:p>
      <w:pPr>
        <w:pStyle w:val="Heading1"/>
        <w:spacing w:after="120"/>
      </w:pPr>
      <w:r>
        <w:rPr>
          <w:b/>
          <w:sz w:val="26"/>
          <w:szCs w:val="26"/>
        </w:rPr>
        <w:t xml:space="preserve">Approval of Annual Financial Statements</w:t>
      </w:r>
    </w:p>
    <w:p>
      <w:pPr>
        <w:spacing w:after="120"/>
      </w:pPr>
      <w:r>
        <w:t xml:space="preserve">The annual financial statements were approved by the board of directors and are signed on its behalf by:</w:t>
      </w:r>
    </w:p>
    <w:p>
      <w:pPr>
        <w:spacing w:after="80"/>
      </w:pPr>
      <w:r>
        <w:rPr>
          <w:b/>
          <w:sz w:val="20"/>
          <w:szCs w:val="20"/>
        </w:rPr>
        <w:t xml:space="preserve">Prepared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Reviewed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Approved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Authorised Representative</w:t>
      </w:r>
    </w:p>
    <w:p>
      <w:pPr>
        <w:spacing w:after="20"/>
      </w:pPr>
      <w:r>
        <w:t xml:space="preserve">______________________________</w:t>
      </w:r>
    </w:p>
    <w:p>
      <w:pPr>
        <w:spacing w:after="20"/>
      </w:pPr>
      <w:r>
        <w:rPr>
          <w:color w:val="595959"/>
        </w:rPr>
        <w:t xml:space="preserve">[Signature]</w:t>
      </w:r>
    </w:p>
    <w:p>
      <w:pPr>
        <w:spacing w:after="20"/>
      </w:pPr>
      <w:r>
        <w:t xml:space="preserve">L. Company Secretary</w:t>
      </w:r>
    </w:p>
    <w:p>
      <w:pPr>
        <w:spacing w:after="20"/>
      </w:pPr>
      <w:r>
        <w:rPr>
          <w:color w:val="595959"/>
        </w:rPr>
        <w:t xml:space="preserve">Company Secretary</w:t>
      </w:r>
    </w:p>
    <w:p>
      <w:pPr>
        <w:spacing w:after="120"/>
      </w:pPr>
      <w:r>
        <w:rPr>
          <w:color w:val="595959"/>
        </w:rPr>
        <w:t xml:space="preserve">[Date]</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D0CC"/>
      </w:pBdr>
    </w:pPr>
    <w:r>
      <w:rPr>
        <w:color w:val="595959"/>
        <w:sz w:val="16"/>
        <w:szCs w:val="16"/>
      </w:rPr>
      <w:t xml:space="preserve">AdminLess Fin   </w:t>
    </w:r>
    <w:r>
      <w:rPr>
        <w:color w:val="595959"/>
        <w:sz w:val="16"/>
        <w:szCs w:val="16"/>
      </w:rPr>
      <w:t xml:space="preserve">Page </w:t>
    </w:r>
    <w:r>
      <w:rPr>
        <w:sz w:val="16"/>
      </w:rPr>
      <w:fldChar w:fldCharType="begin"/>
    </w:r>
    <w:r>
      <w:instrText xml:space="preserve"> PAGE </w:instrText>
    </w:r>
    <w:r>
      <w:fldChar w:fldCharType="end"/>
    </w:r>
    <w:r>
      <w:rPr>
        <w:color w:val="595959"/>
        <w:sz w:val="16"/>
        <w:szCs w:val="16"/>
      </w:rPr>
      <w:t xml:space="preserve"> / </w:t>
    </w:r>
    <w:r>
      <w:rPr>
        <w:sz w:val="16"/>
      </w:rPr>
      <w:fldChar w:fldCharType="begin"/>
    </w:r>
    <w:r>
      <w:instrText xml:space="preserve"> NUMPAGES </w:instrText>
    </w:r>
    <w:r>
      <w:fldChar w:fldCharType="end"/>
    </w:r>
    <w:r>
      <w:rPr>
        <w:color w:val="595959"/>
        <w:sz w:val="16"/>
        <w:szCs w:val="16"/>
      </w:rPr>
      <w:t xml:space="preserve">   29 July 2026</w:t>
    </w:r>
  </w:p>
</w:ftr>
</file>

<file path=word/header1.xml><?xml version="1.0" encoding="utf-8"?>
<w:hdr xmlns:w="http://schemas.openxmlformats.org/wordprocessingml/2006/main">
  <w:p>
    <w:pPr>
      <w:pBdr>
        <w:bottom w:val="single" w:sz="4" w:space="1" w:color="1F6B52"/>
      </w:pBdr>
    </w:pPr>
    <w:r>
      <w:rPr>
        <w:b/>
        <w:sz w:val="18"/>
        <w:szCs w:val="18"/>
      </w:rPr>
      <w:t xml:space="preserve">AdminLess Composition Demo (Pty) Ltd</w:t>
    </w:r>
    <w:r>
      <w:br/>
    </w:r>
    <w:r>
      <w:rPr>
        <w:color w:val="595959"/>
        <w:sz w:val="16"/>
        <w:szCs w:val="16"/>
      </w:rPr>
      <w:t xml:space="preserve">Registration number: 2019/440440/07</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