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AdminLess Composition Demo (Pty) Ltd</w:t>
      </w:r>
    </w:p>
    <w:p>
      <w:pPr>
        <w:jc w:val="center"/>
        <w:spacing w:after="40"/>
      </w:pPr>
      <w:r>
        <w:rPr>
          <w:color w:val="595959"/>
        </w:rPr>
        <w:t xml:space="preserve">Registration number 2019/440440/07</w:t>
      </w:r>
    </w:p>
    <w:p>
      <w:pPr>
        <w:jc w:val="center"/>
        <w:spacing w:after="40"/>
      </w:pPr>
      <w:r>
        <w:rPr>
          <w:color w:val="595959"/>
        </w:rPr>
        <w:t xml:space="preserve">Trading as Composition Demo</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Borrowing costs</w:t>
      </w:r>
    </w:p>
    <w:p>
      <w:pPr>
        <w:spacing w:after="40"/>
      </w:pPr>
      <w:r>
        <w:t xml:space="preserve">Note 7. Borrowings</w:t>
      </w:r>
    </w:p>
    <w:p>
      <w:pPr>
        <w:spacing w:after="40"/>
      </w:pPr>
      <w:r>
        <w:t xml:space="preserve">Note 8. Financial instruments</w:t>
      </w:r>
    </w:p>
    <w:p>
      <w:pPr>
        <w:spacing w:after="40"/>
      </w:pPr>
      <w:r>
        <w:t xml:space="preserve">Supplementary Information</w:t>
      </w:r>
    </w:p>
    <w:p>
      <w:pPr>
        <w:spacing w:after="40"/>
      </w:pPr>
      <w:r>
        <w:t xml:space="preserve">Reconciliation of property, plant and equipment</w:t>
      </w:r>
    </w:p>
    <w:p>
      <w:pPr>
        <w:spacing w:after="40"/>
      </w:pPr>
      <w:r>
        <w:t xml:space="preserve">Reconciliation of borrowings</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S. Chairperson and M. Finance Director.</w:t>
      </w:r>
    </w:p>
    <w:p>
      <w:pPr>
        <w:spacing w:after="40"/>
      </w:pPr>
      <w:r>
        <w:rPr>
          <w:b/>
          <w:sz w:val="20"/>
          <w:szCs w:val="20"/>
        </w:rPr>
        <w:t xml:space="preserve">6. Company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7. Auditors</w:t>
      </w:r>
    </w:p>
    <w:p>
      <w:pPr>
        <w:spacing w:after="120"/>
      </w:pPr>
      <w:r>
        <w:t xml:space="preserve">The company's auditors are National Assurance Inc..</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AdminLess Composition Demo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Composition Demo</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FY2026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Property, plant and equipment</w:t>
            </w:r>
          </w:p>
        </w:tc>
        <w:tc>
          <w:tcPr>
            <w:tcW w:w="1500" w:type="dxa"/>
          </w:tcPr>
          <w:p>
            <w:pPr>
              <w:jc w:val="left"/>
              <w:spacing w:after="20"/>
            </w:pPr>
            <w:r>
              <w:rPr>
                <w:sz w:val="18"/>
                <w:szCs w:val="18"/>
              </w:rPr>
              <w:t xml:space="preserve">5</w:t>
            </w:r>
          </w:p>
        </w:tc>
        <w:tc>
          <w:tcPr>
            <w:tcW w:w="1500" w:type="dxa"/>
          </w:tcPr>
          <w:p>
            <w:pPr>
              <w:jc w:val="right"/>
              <w:spacing w:after="20"/>
            </w:pPr>
            <w:r>
              <w:rPr>
                <w:sz w:val="18"/>
                <w:szCs w:val="18"/>
              </w:rPr>
              <w:t xml:space="preserve">8,500,000.00</w:t>
            </w:r>
          </w:p>
        </w:tc>
      </w:tr>
      <w:tr>
        <w:tc>
          <w:tcPr>
            <w:tcW w:w="6026" w:type="dxa"/>
          </w:tcPr>
          <w:p>
            <w:pPr>
              <w:jc w:val="left"/>
              <w:spacing w:after="20"/>
            </w:pPr>
            <w:r>
              <w:rPr>
                <w:sz w:val="18"/>
                <w:szCs w:val="18"/>
              </w:rPr>
              <w:t xml:space="preserve">Inventories</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2,100,000.00</w:t>
            </w:r>
          </w:p>
        </w:tc>
      </w:tr>
      <w:tr>
        <w:tc>
          <w:tcPr>
            <w:tcW w:w="6026" w:type="dxa"/>
          </w:tcPr>
          <w:p>
            <w:pPr>
              <w:jc w:val="left"/>
              <w:spacing w:after="20"/>
            </w:pPr>
            <w:r>
              <w:rPr>
                <w:sz w:val="18"/>
                <w:szCs w:val="18"/>
              </w:rPr>
              <w:t xml:space="preserve">Trade and other receivables</w:t>
            </w:r>
          </w:p>
        </w:tc>
        <w:tc>
          <w:tcPr>
            <w:tcW w:w="1500" w:type="dxa"/>
          </w:tcPr>
          <w:p>
            <w:pPr>
              <w:jc w:val="left"/>
              <w:spacing w:after="20"/>
            </w:pPr>
            <w:r>
              <w:rPr>
                <w:sz w:val="18"/>
                <w:szCs w:val="18"/>
              </w:rPr>
              <w:t xml:space="preserve">7</w:t>
            </w:r>
          </w:p>
        </w:tc>
        <w:tc>
          <w:tcPr>
            <w:tcW w:w="1500" w:type="dxa"/>
          </w:tcPr>
          <w:p>
            <w:pPr>
              <w:jc w:val="right"/>
              <w:spacing w:after="20"/>
            </w:pPr>
            <w:r>
              <w:rPr>
                <w:sz w:val="18"/>
                <w:szCs w:val="18"/>
              </w:rPr>
              <w:t xml:space="preserve">1,650,000.00</w:t>
            </w:r>
          </w:p>
        </w:tc>
      </w:tr>
      <w:tr>
        <w:tc>
          <w:tcPr>
            <w:tcW w:w="6026" w:type="dxa"/>
          </w:tcPr>
          <w:p>
            <w:pPr>
              <w:jc w:val="left"/>
              <w:spacing w:after="20"/>
            </w:pPr>
            <w:r>
              <w:rPr>
                <w:sz w:val="18"/>
                <w:szCs w:val="18"/>
              </w:rPr>
              <w:t xml:space="preserve">Cash and cash equivalents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980,000.00</w:t>
            </w:r>
          </w:p>
        </w:tc>
      </w:tr>
      <w:tr>
        <w:tc>
          <w:tcPr>
            <w:tcW w:w="6026" w:type="dxa"/>
          </w:tcPr>
          <w:p>
            <w:pPr>
              <w:jc w:val="left"/>
              <w:spacing w:after="20"/>
            </w:pPr>
            <w:r>
              <w:rPr>
                <w:b/>
                <w:sz w:val="18"/>
                <w:szCs w:val="18"/>
              </w:rPr>
              <w:t xml:space="preserve">Total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r>
        <w:tc>
          <w:tcPr>
            <w:tcW w:w="6026" w:type="dxa"/>
          </w:tcPr>
          <w:p>
            <w:pPr>
              <w:jc w:val="left"/>
              <w:spacing w:after="20"/>
            </w:pPr>
            <w:r>
              <w:rPr>
                <w:sz w:val="18"/>
                <w:szCs w:val="18"/>
              </w:rPr>
              <w:t xml:space="preserve">Share capital</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1,000,000.00</w:t>
            </w:r>
          </w:p>
        </w:tc>
      </w:tr>
      <w:tr>
        <w:tc>
          <w:tcPr>
            <w:tcW w:w="6026" w:type="dxa"/>
          </w:tcPr>
          <w:p>
            <w:pPr>
              <w:jc w:val="left"/>
              <w:spacing w:after="20"/>
            </w:pPr>
            <w:r>
              <w:rPr>
                <w:sz w:val="18"/>
                <w:szCs w:val="18"/>
              </w:rPr>
              <w:t xml:space="preserve">Retained earnings</w:t>
            </w:r>
          </w:p>
        </w:tc>
        <w:tc>
          <w:tcPr>
            <w:tcW w:w="1500" w:type="dxa"/>
          </w:tcPr>
          <w:p>
            <w:pPr>
              <w:jc w:val="left"/>
              <w:spacing w:after="20"/>
            </w:pPr>
            <w:r>
              <w:rPr>
                <w:sz w:val="18"/>
                <w:szCs w:val="18"/>
              </w:rPr>
              <w:t xml:space="preserve">14</w:t>
            </w:r>
          </w:p>
        </w:tc>
        <w:tc>
          <w:tcPr>
            <w:tcW w:w="1500" w:type="dxa"/>
          </w:tcPr>
          <w:p>
            <w:pPr>
              <w:jc w:val="right"/>
              <w:spacing w:after="20"/>
            </w:pPr>
            <w:r>
              <w:rPr>
                <w:sz w:val="18"/>
                <w:szCs w:val="18"/>
              </w:rPr>
              <w:t xml:space="preserve">8,230,000.00</w:t>
            </w:r>
          </w:p>
        </w:tc>
      </w:tr>
      <w:tr>
        <w:tc>
          <w:tcPr>
            <w:tcW w:w="6026" w:type="dxa"/>
          </w:tcPr>
          <w:p>
            <w:pPr>
              <w:jc w:val="left"/>
              <w:spacing w:after="20"/>
            </w:pPr>
            <w:r>
              <w:rPr>
                <w:sz w:val="18"/>
                <w:szCs w:val="18"/>
              </w:rPr>
              <w:t xml:space="preserve">Trade and other payables</w:t>
            </w:r>
          </w:p>
        </w:tc>
        <w:tc>
          <w:tcPr>
            <w:tcW w:w="1500" w:type="dxa"/>
          </w:tcPr>
          <w:p>
            <w:pPr>
              <w:jc w:val="left"/>
              <w:spacing w:after="20"/>
            </w:pPr>
            <w:r>
              <w:rPr>
                <w:sz w:val="18"/>
                <w:szCs w:val="18"/>
              </w:rPr>
              <w:t xml:space="preserve">8</w:t>
            </w:r>
          </w:p>
        </w:tc>
        <w:tc>
          <w:tcPr>
            <w:tcW w:w="1500" w:type="dxa"/>
          </w:tcPr>
          <w:p>
            <w:pPr>
              <w:jc w:val="right"/>
              <w:spacing w:after="20"/>
            </w:pPr>
            <w:r>
              <w:rPr>
                <w:sz w:val="18"/>
                <w:szCs w:val="18"/>
              </w:rPr>
              <w:t xml:space="preserve">1,900,000.00</w:t>
            </w:r>
          </w:p>
        </w:tc>
      </w:tr>
      <w:tr>
        <w:tc>
          <w:tcPr>
            <w:tcW w:w="6026" w:type="dxa"/>
          </w:tcPr>
          <w:p>
            <w:pPr>
              <w:jc w:val="left"/>
              <w:spacing w:after="20"/>
            </w:pPr>
            <w:r>
              <w:rPr>
                <w:sz w:val="18"/>
                <w:szCs w:val="18"/>
              </w:rPr>
              <w:t xml:space="preserve">Borrowings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2,100,000.00</w:t>
            </w:r>
          </w:p>
        </w:tc>
      </w:tr>
      <w:tr>
        <w:tc>
          <w:tcPr>
            <w:tcW w:w="6026" w:type="dxa"/>
          </w:tcPr>
          <w:p>
            <w:pPr>
              <w:jc w:val="left"/>
              <w:spacing w:after="20"/>
            </w:pPr>
            <w:r>
              <w:rPr>
                <w:b/>
                <w:sz w:val="18"/>
                <w:szCs w:val="18"/>
              </w:rPr>
              <w:t xml:space="preserve">Total 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13,230,000.00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Revenue</w:t>
            </w:r>
          </w:p>
        </w:tc>
        <w:tc>
          <w:tcPr>
            <w:tcW w:w="1500" w:type="dxa"/>
          </w:tcPr>
          <w:p>
            <w:pPr>
              <w:jc w:val="left"/>
              <w:spacing w:after="20"/>
            </w:pPr>
            <w:r>
              <w:rPr>
                <w:sz w:val="18"/>
                <w:szCs w:val="18"/>
              </w:rPr>
              <w:t xml:space="preserve">4</w:t>
            </w:r>
          </w:p>
        </w:tc>
        <w:tc>
          <w:tcPr>
            <w:tcW w:w="1500" w:type="dxa"/>
          </w:tcPr>
          <w:p>
            <w:pPr>
              <w:jc w:val="right"/>
              <w:spacing w:after="20"/>
            </w:pPr>
            <w:r>
              <w:rPr>
                <w:sz w:val="18"/>
                <w:szCs w:val="18"/>
              </w:rPr>
              <w:t xml:space="preserve">18,500,000.00</w:t>
            </w:r>
          </w:p>
        </w:tc>
      </w:tr>
      <w:tr>
        <w:tc>
          <w:tcPr>
            <w:tcW w:w="6026" w:type="dxa"/>
          </w:tcPr>
          <w:p>
            <w:pPr>
              <w:jc w:val="left"/>
              <w:spacing w:after="20"/>
            </w:pPr>
            <w:r>
              <w:rPr>
                <w:sz w:val="18"/>
                <w:szCs w:val="18"/>
              </w:rPr>
              <w:t xml:space="preserve">Expenses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14,200,000.00</w:t>
            </w:r>
          </w:p>
        </w:tc>
      </w:tr>
      <w:tr>
        <w:tc>
          <w:tcPr>
            <w:tcW w:w="6026" w:type="dxa"/>
          </w:tcPr>
          <w:p>
            <w:pPr>
              <w:jc w:val="left"/>
              <w:spacing w:after="20"/>
            </w:pPr>
            <w:r>
              <w:rPr>
                <w:sz w:val="18"/>
                <w:szCs w:val="18"/>
              </w:rPr>
              <w:t xml:space="preserve">Finance costs</w:t>
            </w:r>
          </w:p>
        </w:tc>
        <w:tc>
          <w:tcPr>
            <w:tcW w:w="1500" w:type="dxa"/>
          </w:tcPr>
          <w:p>
            <w:pPr>
              <w:jc w:val="left"/>
              <w:spacing w:after="20"/>
            </w:pPr>
            <w:r>
              <w:rPr>
                <w:sz w:val="18"/>
                <w:szCs w:val="18"/>
              </w:rPr>
              <w:t xml:space="preserve">9</w:t>
            </w:r>
          </w:p>
        </w:tc>
        <w:tc>
          <w:tcPr>
            <w:tcW w:w="1500" w:type="dxa"/>
          </w:tcPr>
          <w:p>
            <w:pPr>
              <w:jc w:val="right"/>
              <w:spacing w:after="20"/>
            </w:pPr>
            <w:r>
              <w:rPr>
                <w:sz w:val="18"/>
                <w:szCs w:val="18"/>
              </w:rPr>
              <w:t xml:space="preserve">420,000.00</w:t>
            </w:r>
          </w:p>
        </w:tc>
      </w:tr>
      <w:tr>
        <w:tc>
          <w:tcPr>
            <w:tcW w:w="6026" w:type="dxa"/>
          </w:tcPr>
          <w:p>
            <w:pPr>
              <w:jc w:val="left"/>
              <w:spacing w:after="20"/>
            </w:pPr>
            <w:r>
              <w:rPr>
                <w:sz w:val="18"/>
                <w:szCs w:val="18"/>
              </w:rPr>
              <w:t xml:space="preserve">Tax expense</w:t>
            </w:r>
          </w:p>
        </w:tc>
        <w:tc>
          <w:tcPr>
            <w:tcW w:w="1500" w:type="dxa"/>
          </w:tcPr>
          <w:p>
            <w:pPr>
              <w:jc w:val="left"/>
              <w:spacing w:after="20"/>
            </w:pPr>
            <w:r>
              <w:rPr>
                <w:sz w:val="18"/>
                <w:szCs w:val="18"/>
              </w:rPr>
              <w:t xml:space="preserve">11</w:t>
            </w:r>
          </w:p>
        </w:tc>
        <w:tc>
          <w:tcPr>
            <w:tcW w:w="1500" w:type="dxa"/>
          </w:tcPr>
          <w:p>
            <w:pPr>
              <w:jc w:val="right"/>
              <w:spacing w:after="20"/>
            </w:pPr>
            <w:r>
              <w:rPr>
                <w:sz w:val="18"/>
                <w:szCs w:val="18"/>
              </w:rPr>
              <w:t xml:space="preserve">972,500.00</w:t>
            </w:r>
          </w:p>
        </w:tc>
      </w:tr>
      <w:tr>
        <w:tc>
          <w:tcPr>
            <w:tcW w:w="6026" w:type="dxa"/>
          </w:tcPr>
          <w:p>
            <w:pPr>
              <w:jc w:val="left"/>
              <w:spacing w:after="20"/>
            </w:pPr>
            <w:r>
              <w:rPr>
                <w:b/>
                <w:sz w:val="18"/>
                <w:szCs w:val="18"/>
              </w:rPr>
              <w:t xml:space="preserve">Profit before tax</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3,880,000.00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b/>
                <w:sz w:val="18"/>
                <w:szCs w:val="18"/>
              </w:rPr>
              <w:t xml:space="preserve">Opening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6,322,500.00</w:t>
            </w:r>
          </w:p>
        </w:tc>
      </w:tr>
      <w:tr>
        <w:tc>
          <w:tcPr>
            <w:tcW w:w="6026" w:type="dxa"/>
          </w:tcPr>
          <w:p>
            <w:pPr>
              <w:jc w:val="left"/>
              <w:spacing w:after="20"/>
            </w:pPr>
            <w:r>
              <w:rPr>
                <w:sz w:val="18"/>
                <w:szCs w:val="18"/>
              </w:rPr>
              <w:t xml:space="preserve">Profit for the period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2,907,500.00</w:t>
            </w:r>
          </w:p>
        </w:tc>
      </w:tr>
      <w:tr>
        <w:tc>
          <w:tcPr>
            <w:tcW w:w="6026" w:type="dxa"/>
          </w:tcPr>
          <w:p>
            <w:pPr>
              <w:jc w:val="left"/>
              <w:spacing w:after="20"/>
            </w:pPr>
            <w:r>
              <w:rPr>
                <w:b/>
                <w:sz w:val="18"/>
                <w:szCs w:val="18"/>
              </w:rPr>
              <w:t xml:space="preserve">Closing equity</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9,230,000.00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Net cash from operating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3,100,000.00</w:t>
            </w:r>
          </w:p>
        </w:tc>
      </w:tr>
      <w:tr>
        <w:tc>
          <w:tcPr>
            <w:tcW w:w="6026" w:type="dxa"/>
          </w:tcPr>
          <w:p>
            <w:pPr>
              <w:jc w:val="left"/>
              <w:spacing w:after="20"/>
            </w:pPr>
            <w:r>
              <w:rPr>
                <w:sz w:val="18"/>
                <w:szCs w:val="18"/>
              </w:rPr>
              <w:t xml:space="preserve">Net cash from investing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(1,250,000.00)</w:t>
            </w:r>
          </w:p>
        </w:tc>
      </w:tr>
      <w:tr>
        <w:tc>
          <w:tcPr>
            <w:tcW w:w="6026" w:type="dxa"/>
          </w:tcPr>
          <w:p>
            <w:pPr>
              <w:jc w:val="left"/>
              <w:spacing w:after="20"/>
            </w:pPr>
            <w:r>
              <w:rPr>
                <w:sz w:val="18"/>
                <w:szCs w:val="18"/>
              </w:rPr>
              <w:t xml:space="preserve">Net cash from financing activities</w:t>
            </w:r>
          </w:p>
        </w:tc>
        <w:tc>
          <w:tcPr>
            <w:tcW w:w="1500" w:type="dxa"/>
          </w:tcPr>
          <w:p>
            <w:pPr>
              <w:jc w:val="left"/>
              <w:spacing w:after="20"/>
            </w:pPr>
            <w:r>
              <w:rPr>
                <w:sz w:val="18"/>
                <w:szCs w:val="18"/>
              </w:rPr>
              <w:t xml:space="preserve">16</w:t>
            </w:r>
          </w:p>
        </w:tc>
        <w:tc>
          <w:tcPr>
            <w:tcW w:w="1500" w:type="dxa"/>
          </w:tcPr>
          <w:p>
            <w:pPr>
              <w:jc w:val="right"/>
              <w:spacing w:after="20"/>
            </w:pPr>
            <w:r>
              <w:rPr>
                <w:sz w:val="18"/>
                <w:szCs w:val="18"/>
              </w:rPr>
              <w:t xml:space="preserve">(870,000.00)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r>
        <w:rPr>
          <w:b/>
          <w:sz w:val="20"/>
          <w:szCs w:val="20"/>
        </w:rPr>
        <w:t xml:space="preserve">Note 1. General information</w:t>
      </w:r>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r>
        <w:rPr>
          <w:b/>
          <w:sz w:val="20"/>
          <w:szCs w:val="20"/>
        </w:rPr>
        <w:t xml:space="preserve">Note 2. Basis of preparation</w:t>
      </w:r>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r>
        <w:rPr>
          <w:b/>
          <w:sz w:val="20"/>
          <w:szCs w:val="20"/>
        </w:rPr>
        <w:t xml:space="preserve">Note 3.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spacing w:after="120"/>
      </w:pPr>
      <w:r>
        <w:rPr>
          <w:b/>
        </w:rPr>
        <w:t xml:space="preserve">Significant judgement: 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Note 4. Revenue</w:t>
      </w:r>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Revenue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5. Property, plant and equipment</w:t>
      </w:r>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Depreciation</w:t>
            </w:r>
          </w:p>
        </w:tc>
        <w:tc>
          <w:tcPr>
            <w:tcW w:w="1085" w:type="dxa"/>
            <w:shd w:val="clear" w:color="auto" w:fill="F2F2F2"/>
          </w:tcPr>
          <w:p>
            <w:pPr>
              <w:jc w:val="right"/>
              <w:spacing w:after="20"/>
            </w:pPr>
            <w:r>
              <w:rPr>
                <w:b/>
                <w:sz w:val="18"/>
                <w:szCs w:val="18"/>
              </w:rPr>
              <w:t xml:space="preserve">Closing balance</w:t>
            </w:r>
          </w:p>
        </w:tc>
      </w:tr>
      <w:tr>
        <w:tc>
          <w:tcPr>
            <w:tcW w:w="3600" w:type="dxa"/>
          </w:tcPr>
          <w:p>
            <w:pPr>
              <w:jc w:val="left"/>
              <w:spacing w:after="20"/>
            </w:pPr>
            <w:r>
              <w:rPr>
                <w:sz w:val="18"/>
                <w:szCs w:val="18"/>
              </w:rPr>
              <w:t xml:space="preserve">Land</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Buildings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Plant and machinery</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Motor vehicles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Office equipment</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Total</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8 500 000</w:t>
            </w:r>
          </w:p>
        </w:tc>
      </w:tr>
    </w:tbl>
    <w:p>
      <w:pPr>
        <w:spacing w:after="40"/>
      </w:pPr>
      <w:r>
        <w:t xml:space="preserve"/>
      </w:r>
    </w:p>
    <w:p>
      <w:pPr>
        <w:spacing w:after="40"/>
      </w:pPr>
      <w:r>
        <w:rPr>
          <w:b/>
        </w:rPr>
        <w:t xml:space="preserve">Property, plant and equipment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8,500,000.00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r>
        <w:rPr>
          <w:b/>
          <w:sz w:val="20"/>
          <w:szCs w:val="20"/>
        </w:rPr>
        <w:t xml:space="preserve">Note 6. Inventories</w:t>
      </w:r>
    </w:p>
    <w:p>
      <w:pPr>
        <w:spacing w:after="120"/>
      </w:pPr>
      <w:r>
        <w:t xml:space="preserve">Inventories are stated at the lower of cost and estimated selling price less costs to complete and sell. The carrying amounts by category and any write-down recognised as an expense are set out below.</w:t>
      </w:r>
    </w:p>
    <w:p>
      <w:pPr>
        <w:spacing w:after="40"/>
      </w:pPr>
      <w:r>
        <w:rPr>
          <w:b/>
        </w:rPr>
        <w:t xml:space="preserve">Inventories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Inventories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inventories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Raw materials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Work in progress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Finished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Merchandise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Write-down to net realisable value recognised as an expense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Inventories are stated at the lower of cost and estimated selling price less costs to complete and sell. The carrying amounts by category and any write-down recognised as an expense are set out below.</w:t>
      </w:r>
    </w:p>
    <w:p>
      <w:pPr>
        <w:pStyle w:val="Heading2"/>
        <w:spacing w:after="120"/>
      </w:pPr>
      <w:r>
        <w:rPr>
          <w:b/>
          <w:sz w:val="20"/>
          <w:szCs w:val="20"/>
        </w:rPr>
        <w:t xml:space="preserve">Note 7. Trade and other receivables</w:t>
      </w:r>
    </w:p>
    <w:p>
      <w:pPr>
        <w:spacing w:after="120"/>
      </w:pPr>
      <w:r>
        <w:t xml:space="preserve">Trade and other receivables are basic financial assets measured at amortised cost less any impairment. The analysis of receivables is set out below.</w:t>
      </w:r>
    </w:p>
    <w:p>
      <w:pPr>
        <w:spacing w:after="40"/>
      </w:pPr>
      <w:r>
        <w:rPr>
          <w:b/>
        </w:rPr>
        <w:t xml:space="preserve">Trade and other receivables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receivables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receivables — gross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Allowance for impairment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receivables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Prepayments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8. Trade and other payables</w:t>
      </w:r>
    </w:p>
    <w:p>
      <w:pPr>
        <w:spacing w:after="120"/>
      </w:pPr>
      <w:r>
        <w:t xml:space="preserve">Trade and other payables are basic financial liabilities measured at amortised cost. The analysis by class is set out below.</w:t>
      </w:r>
    </w:p>
    <w:p>
      <w:pPr>
        <w:spacing w:after="40"/>
      </w:pPr>
      <w:r>
        <w:rPr>
          <w:b/>
        </w:rPr>
        <w:t xml:space="preserve">Trade and other payables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Trade and other payables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Value added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Accruals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Amounts received in advance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payables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9. Borrowings</w:t>
      </w:r>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spacing w:after="40"/>
      </w:pPr>
      <w:r>
        <w:rPr>
          <w:b/>
        </w:rPr>
        <w:t xml:space="preserve">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Borrowings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Unsecured loans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Bank overdrafts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Non-current portion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10. Financial instruments</w:t>
      </w:r>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spacing w:after="40"/>
      </w:pPr>
      <w:r>
        <w:rPr>
          <w:b/>
        </w:rPr>
        <w:t xml:space="preserve">Categories of financial instruments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borrowings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Other movements</w:t>
            </w:r>
          </w:p>
        </w:tc>
        <w:tc>
          <w:tcPr>
            <w:tcW w:w="1085" w:type="dxa"/>
            <w:shd w:val="clear" w:color="auto" w:fill="F2F2F2"/>
          </w:tcPr>
          <w:p>
            <w:pPr>
              <w:jc w:val="left"/>
              <w:spacing w:after="20"/>
            </w:pPr>
            <w:r>
              <w:rPr>
                <w:b/>
                <w:sz w:val="18"/>
                <w:szCs w:val="18"/>
              </w:rPr>
              <w:t xml:space="preserve">Closing balance</w:t>
            </w:r>
          </w:p>
        </w:tc>
      </w:tr>
      <w:tr>
        <w:tc>
          <w:tcPr>
            <w:tcW w:w="3600" w:type="dxa"/>
          </w:tcPr>
          <w:p>
            <w:pPr>
              <w:jc w:val="left"/>
              <w:spacing w:after="20"/>
            </w:pPr>
            <w:r>
              <w:rPr>
                <w:sz w:val="18"/>
                <w:szCs w:val="18"/>
              </w:rPr>
              <w:t xml:space="preserve">Borrowings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left"/>
              <w:spacing w:after="20"/>
            </w:pPr>
            <w:r>
              <w:rPr>
                <w:sz w:val="18"/>
                <w:szCs w:val="18"/>
              </w:rPr>
              <w:t xml:space="preserve">2 100 000</w:t>
            </w:r>
          </w:p>
        </w:tc>
      </w:tr>
    </w:tbl>
    <w:p>
      <w:pPr>
        <w:spacing w:after="40"/>
      </w:pPr>
      <w:r>
        <w:t xml:space="preserve"/>
      </w:r>
    </w:p>
    <w:p>
      <w:pPr>
        <w:spacing w:after="40"/>
      </w:pPr>
      <w:r>
        <w:rPr>
          <w:b/>
        </w:rPr>
        <w:t xml:space="preserve">Categories of financial instruments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Trade and other receivables</w:t>
            </w:r>
          </w:p>
        </w:tc>
        <w:tc>
          <w:tcPr>
            <w:tcW w:w="1500" w:type="dxa"/>
          </w:tcPr>
          <w:p>
            <w:pPr>
              <w:jc w:val="right"/>
              <w:spacing w:after="20"/>
            </w:pPr>
            <w:r>
              <w:rPr>
                <w:sz w:val="18"/>
                <w:szCs w:val="18"/>
              </w:rPr>
              <w:t xml:space="preserve">1,650,000.00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and cash equivalents</w:t>
            </w:r>
          </w:p>
        </w:tc>
        <w:tc>
          <w:tcPr>
            <w:tcW w:w="1500" w:type="dxa"/>
          </w:tcPr>
          <w:p>
            <w:pPr>
              <w:jc w:val="right"/>
              <w:spacing w:after="20"/>
            </w:pPr>
            <w:r>
              <w:rPr>
                <w:sz w:val="18"/>
                <w:szCs w:val="18"/>
              </w:rPr>
              <w:t xml:space="preserve">980,000.00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Trade and other payables</w:t>
            </w:r>
          </w:p>
        </w:tc>
        <w:tc>
          <w:tcPr>
            <w:tcW w:w="1500" w:type="dxa"/>
          </w:tcPr>
          <w:p>
            <w:pPr>
              <w:jc w:val="right"/>
              <w:spacing w:after="20"/>
            </w:pPr>
            <w:r>
              <w:rPr>
                <w:sz w:val="18"/>
                <w:szCs w:val="18"/>
              </w:rPr>
              <w:t xml:space="preserve">1,900,000.00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Borrowings</w:t>
            </w:r>
          </w:p>
        </w:tc>
        <w:tc>
          <w:tcPr>
            <w:tcW w:w="1500" w:type="dxa"/>
          </w:tcPr>
          <w:p>
            <w:pPr>
              <w:jc w:val="right"/>
              <w:spacing w:after="20"/>
            </w:pPr>
            <w:r>
              <w:rPr>
                <w:sz w:val="18"/>
                <w:szCs w:val="18"/>
              </w:rPr>
              <w:t xml:space="preserve">2,100,000.00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assets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assets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Basic financial liabilities at amortised cost — other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Financial liabilities at fair value through profit or loss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11. Income tax</w:t>
      </w:r>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w:t>
            </w:r>
          </w:p>
        </w:tc>
      </w:tr>
      <w:tr>
        <w:tc>
          <w:tcPr>
            <w:tcW w:w="75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3,880,000.00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972,500.00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12. Borrowing costs</w:t>
      </w:r>
    </w:p>
    <w:p>
      <w:pPr>
        <w:spacing w:after="120"/>
      </w:pPr>
      <w:r>
        <w:t xml:space="preserve">All borrowing costs are recognised as an expense in profit or loss in the period in which they are incurred. The amount of borrowing costs recognised as an expense during the period is disclosed with finance costs in profit or loss.</w:t>
      </w:r>
    </w:p>
    <w:p>
      <w:pPr>
        <w:pStyle w:val="Heading2"/>
        <w:spacing w:after="120"/>
      </w:pPr>
      <w:r>
        <w:rPr>
          <w:b/>
          <w:sz w:val="20"/>
          <w:szCs w:val="20"/>
        </w:rPr>
        <w:t xml:space="preserve">Note 13. Related party disclosures</w:t>
      </w:r>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spacing w:after="40"/>
      </w:pPr>
      <w:r>
        <w:rPr>
          <w:b/>
        </w:rPr>
        <w:t xml:space="preserve">Related party transactions and balances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Related party transactions and balances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14. Share capital and equity</w:t>
      </w:r>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spacing w:after="40"/>
      </w:pPr>
      <w:r>
        <w:rPr>
          <w:b/>
        </w:rPr>
        <w:t xml:space="preserve">Share capital</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Share capital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Issued 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Authorised share capital — number and nominal amount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 premium</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issued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Shares redeemed during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Components of equity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Share capital</w:t>
            </w:r>
          </w:p>
        </w:tc>
        <w:tc>
          <w:tcPr>
            <w:tcW w:w="1500" w:type="dxa"/>
          </w:tcPr>
          <w:p>
            <w:pPr>
              <w:jc w:val="right"/>
              <w:spacing w:after="20"/>
            </w:pPr>
            <w:r>
              <w:rPr>
                <w:sz w:val="18"/>
                <w:szCs w:val="18"/>
              </w:rPr>
              <w:t xml:space="preserve">1,000,000.00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Retained earnings</w:t>
            </w:r>
          </w:p>
        </w:tc>
        <w:tc>
          <w:tcPr>
            <w:tcW w:w="1500" w:type="dxa"/>
          </w:tcPr>
          <w:p>
            <w:pPr>
              <w:jc w:val="right"/>
              <w:spacing w:after="20"/>
            </w:pPr>
            <w:r>
              <w:rPr>
                <w:sz w:val="18"/>
                <w:szCs w:val="18"/>
              </w:rPr>
              <w:t xml:space="preserve">8,230,000.00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reserves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Non-controlling interests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 equity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15. Events after the end of the reporting period</w:t>
      </w:r>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spacing w:after="120"/>
      </w:pPr>
      <w:r>
        <w:t xml:space="preserve">Accounting estimate: 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2"/>
        <w:spacing w:after="120"/>
      </w:pPr>
      <w:r>
        <w:rPr>
          <w:b/>
          <w:sz w:val="20"/>
          <w:szCs w:val="20"/>
        </w:rPr>
        <w:t xml:space="preserve">Note 16. Notes to the statement of cash flows</w:t>
      </w:r>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w:t>
            </w:r>
          </w:p>
        </w:tc>
      </w:tr>
      <w:tr>
        <w:tc>
          <w:tcPr>
            <w:tcW w:w="75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w:t>
            </w:r>
          </w:p>
        </w:tc>
      </w:tr>
      <w:tr>
        <w:tc>
          <w:tcPr>
            <w:tcW w:w="75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profit to cash generated from operations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3,100,000.00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(1,250,000.00)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(870,000.00)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Profit / (loss) before taxation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and amortisation</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Finance costs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Movements in working capital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[Name]</w:t>
      </w:r>
    </w:p>
    <w:p>
      <w:pPr>
        <w:spacing w:after="20"/>
      </w:pPr>
      <w:r>
        <w:rPr>
          <w:color w:val="595959"/>
        </w:rPr>
        <w:t xml:space="preserve">[Position]</w:t>
      </w:r>
    </w:p>
    <w:p>
      <w:pPr>
        <w:spacing w:after="120"/>
      </w:pPr>
      <w:r>
        <w:rPr>
          <w:color w:val="595959"/>
        </w:rPr>
        <w:t xml:space="preserve">[Date]</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L. Company Secretary</w:t>
      </w:r>
    </w:p>
    <w:p>
      <w:pPr>
        <w:spacing w:after="20"/>
      </w:pPr>
      <w:r>
        <w:rPr>
          <w:color w:val="595959"/>
        </w:rPr>
        <w:t xml:space="preserve">Company Secretary</w:t>
      </w:r>
    </w:p>
    <w:p>
      <w:pPr>
        <w:spacing w:after="120"/>
      </w:pPr>
      <w:r>
        <w:rPr>
          <w:color w:val="595959"/>
        </w:rPr>
        <w:t xml:space="preserve">[Date]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22 August 2026</w:t>
    </w:r>
  </w:p>
</w:ftr>
</file>

<file path=word/header1.xml><?xml version="1.0" encoding="utf-8"?>
<w:hdr xmlns:w="http://schemas.openxmlformats.org/wordprocessingml/2006/main">
  <w:p>
    <w:pPr>
      <w:pBdr>
        <w:bottom w:val="single" w:sz="4" w:space="1" w:color="1F6B52"/>
      </w:pBdr>
    </w:pPr>
    <w:r>
      <w:rPr>
        <w:b/>
        <w:sz w:val="18"/>
        <w:szCs w:val="18"/>
      </w:rPr>
      <w:t xml:space="preserve">AdminLess Composition Demo (Pty) Ltd</w:t>
    </w:r>
    <w:r>
      <w:br/>
    </w:r>
    <w:r>
      <w:rPr>
        <w:color w:val="595959"/>
        <w:sz w:val="16"/>
        <w:szCs w:val="16"/>
      </w:rPr>
      <w:t xml:space="preserve">Registration number: 2019/440440/07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