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80"/>
      </w:pPr>
      <w:r>
        <w:rPr>
          <w:b/>
          <w:sz w:val="32"/>
          <w:szCs w:val="32"/>
        </w:rPr>
        <w:t xml:space="preserve">ADMINLESS COMPOSITION DEMO (PTY) LTD</w:t>
      </w:r>
    </w:p>
    <w:p>
      <w:pPr>
        <w:jc w:val="center"/>
        <w:spacing w:after="40"/>
      </w:pPr>
      <w:r>
        <w:t xml:space="preserve">(Registration number 2019/440440/07)</w:t>
      </w:r>
    </w:p>
    <w:p>
      <w:pPr>
        <w:jc w:val="center"/>
        <w:spacing w:after="40"/>
      </w:pPr>
      <w:r>
        <w:rPr>
          <w:color w:val="595959"/>
        </w:rPr>
        <w:t xml:space="preserve">Trading as Composition Demo</w:t>
      </w:r>
    </w:p>
    <w:p>
      <w:pPr>
        <w:jc w:val="center"/>
        <w:spacing w:after="40"/>
      </w:pPr>
      <w:r>
        <w:rPr>
          <w:b/>
          <w:sz w:val="26"/>
          <w:szCs w:val="26"/>
        </w:rPr>
        <w:t xml:space="preserve">ANNUAL FINANCIAL STATEMENTS</w:t>
      </w:r>
    </w:p>
    <w:p>
      <w:pPr>
        <w:jc w:val="center"/>
        <w:spacing w:after="200"/>
      </w:pPr>
      <w:r>
        <w:t xml:space="preserve">FOR THE YEAR ENDED 31 MARCH 2026</w:t>
      </w:r>
    </w:p>
    <w:p>
      <w:pPr>
        <w:jc w:val="center"/>
        <w:spacing w:after="20"/>
      </w:pPr>
      <w:r>
        <w:rPr>
          <w:sz w:val="18"/>
          <w:szCs w:val="18"/>
        </w:rPr>
        <w:t xml:space="preserve">National Assurance Inc.</w:t>
      </w:r>
    </w:p>
    <w:p>
      <w:pPr>
        <w:jc w:val="center"/>
        <w:spacing w:after="20"/>
      </w:pPr>
      <w:r>
        <w:rPr>
          <w:sz w:val="18"/>
          <w:szCs w:val="18"/>
        </w:rPr>
        <w:t xml:space="preserve">Registered Auditors</w:t>
      </w:r>
    </w:p>
    <w:p>
      <w:pPr>
        <w:pStyle w:val="Heading1"/>
        <w:spacing w:after="120"/>
      </w:pPr>
      <w:r>
        <w:rPr>
          <w:b/>
          <w:sz w:val="26"/>
          <w:szCs w:val="26"/>
        </w:rPr>
        <w:t xml:space="preserve">General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Country of incorporation and domicile</w:t>
            </w:r>
          </w:p>
        </w:tc>
        <w:tc>
          <w:tcPr>
            <w:tcW w:w="1500" w:type="dxa"/>
            <w:shd w:val="clear" w:color="auto" w:fill="F2F2F2"/>
          </w:tcPr>
          <w:p>
            <w:pPr>
              <w:jc w:val="right"/>
              <w:spacing w:after="20"/>
            </w:pPr>
            <w:r>
              <w:rPr>
                <w:b/>
                <w:sz w:val="18"/>
                <w:szCs w:val="18"/>
              </w:rPr>
              <w:t xml:space="preserve">South Africa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Nature of business and principal activities</w:t>
            </w:r>
          </w:p>
        </w:tc>
        <w:tc>
          <w:tcPr>
            <w:tcW w:w="1500" w:type="dxa"/>
            <w:shd w:val="clear" w:color="auto" w:fill="F2F2F2"/>
          </w:tcPr>
          <w:p>
            <w:pPr>
              <w:jc w:val="right"/>
              <w:spacing w:after="20"/>
            </w:pPr>
            <w:r>
              <w:rPr>
                <w:b/>
                <w:sz w:val="18"/>
                <w:szCs w:val="18"/>
              </w:rPr>
              <w:t xml:space="preserve">Manufacture and distribution of industrial equipment.</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S. Chairperson
M. Finance Director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15 Enterprise Boulevard, Johannesburg, 2001</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Auditors</w:t>
            </w:r>
          </w:p>
        </w:tc>
        <w:tc>
          <w:tcPr>
            <w:tcW w:w="1500" w:type="dxa"/>
            <w:shd w:val="clear" w:color="auto" w:fill="F2F2F2"/>
          </w:tcPr>
          <w:p>
            <w:pPr>
              <w:jc w:val="right"/>
              <w:spacing w:after="20"/>
            </w:pPr>
            <w:r>
              <w:rPr>
                <w:b/>
                <w:sz w:val="18"/>
                <w:szCs w:val="18"/>
              </w:rPr>
              <w:t xml:space="preserve">National Assurance Inc.</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L. Company Secretary</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Company registration number</w:t>
            </w:r>
          </w:p>
        </w:tc>
        <w:tc>
          <w:tcPr>
            <w:tcW w:w="1500" w:type="dxa"/>
            <w:shd w:val="clear" w:color="auto" w:fill="F2F2F2"/>
          </w:tcPr>
          <w:p>
            <w:pPr>
              <w:jc w:val="right"/>
              <w:spacing w:after="20"/>
            </w:pPr>
            <w:r>
              <w:rPr>
                <w:b/>
                <w:sz w:val="18"/>
                <w:szCs w:val="18"/>
              </w:rPr>
              <w:t xml:space="preserve">2019/440440/07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cantSplit/>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These annual financial statements have been audited in compliance with the applicable requirements of the Companies Act of South Africa.</w:t>
            </w:r>
          </w:p>
        </w:tc>
      </w:tr>
    </w:tbl>
    <w:p>
      <w:pPr>
        <w:spacing w:after="40"/>
      </w:pPr>
      <w:r>
        <w:t xml:space="preserve"/>
      </w:r>
    </w:p>
    <w:p>
      <w:pPr>
        <w:pStyle w:val="Heading1"/>
        <w:spacing w:after="120"/>
      </w:pPr>
      <w:r>
        <w:rPr>
          <w:b/>
          <w:sz w:val="26"/>
          <w:szCs w:val="26"/>
        </w:rPr>
        <w:t xml:space="preserve">Index</w:t>
      </w:r>
    </w:p>
    <w:p>
      <w:pPr>
        <w:spacing w:after="120"/>
      </w:pPr>
      <w:r>
        <w:t xml:space="preserve">The reports and statements set out below comprise the annual financial statements presented to the shareholders: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Statement of Financial Position</w:t>
      </w:r>
    </w:p>
    <w:p>
      <w:pPr>
        <w:spacing w:after="40"/>
      </w:pPr>
      <w:r>
        <w:t xml:space="preserve">Statement of Comprehensive Income</w:t>
      </w:r>
    </w:p>
    <w:p>
      <w:pPr>
        <w:spacing w:after="40"/>
      </w:pPr>
      <w:r>
        <w:t xml:space="preserve">Statement of Changes in Equity</w:t>
      </w:r>
    </w:p>
    <w:p>
      <w:pPr>
        <w:spacing w:after="40"/>
      </w:pPr>
      <w:r>
        <w:t xml:space="preserve">Statement of Cash Flows</w:t>
      </w:r>
    </w:p>
    <w:p>
      <w:pPr>
        <w:spacing w:after="40"/>
      </w:pPr>
      <w:r>
        <w:t xml:space="preserve">Accounting Policies</w:t>
      </w:r>
    </w:p>
    <w:p>
      <w:pPr>
        <w:spacing w:after="40"/>
      </w:pPr>
      <w:r>
        <w:t xml:space="preserve">Notes to the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AdminLess Composition Demo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on 30 September 2026 and were signed on their behalf by:</w:t>
      </w:r>
    </w:p>
    <w:p>
      <w:pPr>
        <w:spacing w:after="20"/>
      </w:pPr>
      <w:r>
        <w:t xml:space="preserve">______________________________</w:t>
      </w:r>
    </w:p>
    <w:p>
      <w:pPr>
        <w:spacing w:after="10"/>
      </w:pPr>
      <w:r>
        <w:t xml:space="preserve">S. Chairperson</w:t>
      </w:r>
    </w:p>
    <w:p>
      <w:pPr>
        <w:spacing w:after="120"/>
      </w:pPr>
      <w:r>
        <w:rPr>
          <w:color w:val="595959"/>
        </w:rPr>
        <w:t xml:space="preserve">Director</w:t>
      </w:r>
    </w:p>
    <w:p>
      <w:pPr>
        <w:spacing w:after="20"/>
      </w:pPr>
      <w:r>
        <w:t xml:space="preserve">______________________________</w:t>
      </w:r>
    </w:p>
    <w:p>
      <w:pPr>
        <w:spacing w:after="10"/>
      </w:pPr>
      <w:r>
        <w:t xml:space="preserve">M. Finance Director</w:t>
      </w:r>
    </w:p>
    <w:p>
      <w:pPr>
        <w:spacing w:after="120"/>
      </w:pPr>
      <w:r>
        <w:rPr>
          <w:color w:val="595959"/>
        </w:rPr>
        <w:t xml:space="preserve">Director</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AdminLess Composition Demo (Pty) Ltd for the year ended 31 March 2026.</w:t>
      </w:r>
    </w:p>
    <w:p>
      <w:pPr>
        <w:spacing w:after="40"/>
      </w:pPr>
      <w:r>
        <w:rPr>
          <w:b/>
          <w:sz w:val="20"/>
          <w:szCs w:val="20"/>
        </w:rPr>
        <w:t xml:space="preserve">1. Nature of business</w:t>
      </w:r>
    </w:p>
    <w:p>
      <w:pPr>
        <w:spacing w:after="120"/>
      </w:pPr>
      <w:r>
        <w:t xml:space="preserve">The company is engaged in manufacture and distribution of industrial equipment and operates principally in South Africa. There have been no material changes to the nature of the company's business from the prior year.</w:t>
      </w:r>
    </w:p>
    <w:p>
      <w:pPr>
        <w:spacing w:after="40"/>
      </w:pPr>
      <w:r>
        <w:rPr>
          <w:b/>
          <w:sz w:val="20"/>
          <w:szCs w:val="20"/>
        </w:rPr>
        <w:t xml:space="preserve">2. Directors</w:t>
      </w:r>
    </w:p>
    <w:p>
      <w:pPr>
        <w:spacing w:after="120"/>
      </w:pPr>
      <w:r>
        <w:t xml:space="preserve">The directors in office at the date of this report are S. Chairperson and M. Finance Director. There have been no changes to the directorate for the year under review.</w:t>
      </w:r>
    </w:p>
    <w:p>
      <w:pPr>
        <w:spacing w:after="40"/>
      </w:pPr>
      <w:r>
        <w:rPr>
          <w:b/>
          <w:sz w:val="20"/>
          <w:szCs w:val="20"/>
        </w:rPr>
        <w:t xml:space="preserve">3. Events after the reporting period</w:t>
      </w:r>
    </w:p>
    <w:p>
      <w:pPr>
        <w:spacing w:after="120"/>
      </w:pPr>
      <w:r>
        <w:t xml:space="preserve">The directors are not aware of any material event which occurred after the reporting date and up to the date of this report.</w:t>
      </w:r>
    </w:p>
    <w:p>
      <w:pPr>
        <w:spacing w:after="40"/>
      </w:pPr>
      <w:r>
        <w:rPr>
          <w:b/>
          <w:sz w:val="20"/>
          <w:szCs w:val="20"/>
        </w:rPr>
        <w:t xml:space="preserve">4.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5. Secretary</w:t>
      </w:r>
    </w:p>
    <w:p>
      <w:pPr>
        <w:spacing w:after="120"/>
      </w:pPr>
      <w:r>
        <w:t xml:space="preserve">The company secretary is L. Company Secretary, and the registered office of the company is 15 Enterprise Boulevard, Johannesburg, 2001.</w:t>
      </w:r>
    </w:p>
    <w:p>
      <w:pPr>
        <w:spacing w:after="40"/>
      </w:pPr>
      <w:r>
        <w:rPr>
          <w:b/>
          <w:sz w:val="20"/>
          <w:szCs w:val="20"/>
        </w:rPr>
        <w:t xml:space="preserve">6. Auditors</w:t>
      </w:r>
    </w:p>
    <w:p>
      <w:pPr>
        <w:spacing w:after="120"/>
      </w:pPr>
      <w:r>
        <w:t xml:space="preserve">National Assurance Inc. will continue in office as auditors of the company.</w:t>
      </w:r>
    </w:p>
    <w:p>
      <w:pPr>
        <w:pStyle w:val="Heading1"/>
        <w:spacing w:after="120"/>
      </w:pPr>
      <w:r>
        <w:rPr>
          <w:b/>
          <w:sz w:val="26"/>
          <w:szCs w:val="26"/>
        </w:rPr>
        <w:t xml:space="preserve">Independent Auditor's Report</w:t>
      </w:r>
    </w:p>
    <w:p>
      <w:pPr>
        <w:spacing w:after="120"/>
      </w:pPr>
      <w:r>
        <w:t xml:space="preserve">To the shareholders of AdminLess Composition Demo (Pty) Ltd</w:t>
      </w:r>
    </w:p>
    <w:p>
      <w:pPr>
        <w:spacing w:after="120"/>
      </w:pPr>
      <w:r>
        <w:t xml:space="preserve">The independent auditors of the company are National Assurance Inc.. Their report on these annual financial statements is addressed to the shareholders and is inserted here when issued upon completion of the audit engagement.</w:t>
      </w:r>
    </w:p>
    <w:p>
      <w:pPr>
        <w:pStyle w:val="Heading1"/>
        <w:spacing w:after="120"/>
      </w:pPr>
      <w:r>
        <w:rPr>
          <w:b/>
          <w:sz w:val="24"/>
          <w:szCs w:val="24"/>
        </w:rPr>
        <w:t xml:space="preserve">Statement of Financial Position</w:t>
      </w:r>
    </w:p>
    <w:p>
      <w:pPr>
        <w:spacing w:after="60"/>
      </w:pPr>
      <w:r>
        <w:rPr>
          <w:i/>
          <w:color w:val="595959"/>
        </w:rPr>
        <w:t xml:space="preserve">As at 31 March 2026</w:t>
      </w:r>
    </w:p>
    <w:tbl>
      <w:tblPr>
        <w:tblW w:w="0" w:type="auto"/>
        <w:tblLayout w:type="fixed"/>
        <w:tblCellMar>
          <w:left w:w="60" w:type="dxa"/>
          <w:right w:w="60" w:type="dxa"/>
        </w:tblCellMar>
      </w:tblPr>
      <w:tblGrid>
        <w:gridCol w:w="6626"/>
        <w:gridCol w:w="800"/>
        <w:gridCol w:w="1500"/>
      </w:tblGrid>
      <w:tr>
        <w:trPr>
          <w:tblHeader/>
        </w:trPr>
        <w:tc>
          <w:tcPr>
            <w:tcW w:w="6626" w:type="dxa"/>
            <w:tcBorders>
              <w:bottom w:val="single" w:sz="6" w:space="0" w:color="404040"/>
            </w:tcBorders>
          </w:tcPr>
          <w:p>
            <w:pPr>
              <w:spacing w:after="20"/>
            </w:pPr>
            <w:r>
              <w:rPr>
                <w:color w:val="595959"/>
                <w:sz w:val="16"/>
                <w:szCs w:val="16"/>
              </w:rPr>
              <w:t xml:space="preserve">Figures in Rand</w:t>
            </w: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r>
      <w:tr>
        <w:tc>
          <w:tcPr>
            <w:tcW w:w="6626" w:type="dxa"/>
          </w:tcPr>
          <w:p>
            <w:pPr>
              <w:spacing w:after="20"/>
            </w:pPr>
            <w:r>
              <w:rPr>
                <w:sz w:val="18"/>
                <w:szCs w:val="18"/>
              </w:rPr>
              <w:t xml:space="preserve">Property, plant and equipment</w:t>
            </w:r>
          </w:p>
        </w:tc>
        <w:tc>
          <w:tcPr>
            <w:tcW w:w="800" w:type="dxa"/>
          </w:tcPr>
          <w:p>
            <w:pPr>
              <w:jc w:val="center"/>
              <w:spacing w:after="20"/>
            </w:pPr>
            <w:hyperlink w:anchor="note_3" w:history="1">
              <w:r>
                <w:rPr>
                  <w:color w:val="1F4E3D"/>
                  <w:sz w:val="18"/>
                  <w:szCs w:val="18"/>
                </w:rPr>
                <w:t xml:space="preserve">3</w:t>
              </w:r>
            </w:hyperlink>
          </w:p>
        </w:tc>
        <w:tc>
          <w:tcPr>
            <w:tcW w:w="1500" w:type="dxa"/>
          </w:tcPr>
          <w:p>
            <w:pPr>
              <w:jc w:val="right"/>
              <w:spacing w:after="20"/>
            </w:pPr>
            <w:r>
              <w:rPr>
                <w:sz w:val="18"/>
                <w:szCs w:val="18"/>
              </w:rPr>
              <w:t xml:space="preserve">8 500 000</w:t>
            </w:r>
          </w:p>
        </w:tc>
      </w:tr>
      <w:tr>
        <w:tc>
          <w:tcPr>
            <w:tcW w:w="6626" w:type="dxa"/>
          </w:tcPr>
          <w:p>
            <w:pPr>
              <w:spacing w:after="20"/>
            </w:pPr>
            <w:r>
              <w:rPr>
                <w:sz w:val="18"/>
                <w:szCs w:val="18"/>
              </w:rPr>
              <w:t xml:space="preserve">Inventories</w:t>
            </w:r>
          </w:p>
        </w:tc>
        <w:tc>
          <w:tcPr>
            <w:tcW w:w="800" w:type="dxa"/>
          </w:tcPr>
          <w:p>
            <w:pPr>
              <w:jc w:val="center"/>
              <w:spacing w:after="20"/>
            </w:pPr>
            <w:hyperlink w:anchor="note_4" w:history="1">
              <w:r>
                <w:rPr>
                  <w:color w:val="1F4E3D"/>
                  <w:sz w:val="18"/>
                  <w:szCs w:val="18"/>
                </w:rPr>
                <w:t xml:space="preserve">4</w:t>
              </w:r>
            </w:hyperlink>
          </w:p>
        </w:tc>
        <w:tc>
          <w:tcPr>
            <w:tcW w:w="1500" w:type="dxa"/>
          </w:tcPr>
          <w:p>
            <w:pPr>
              <w:jc w:val="right"/>
              <w:spacing w:after="20"/>
            </w:pPr>
            <w:r>
              <w:rPr>
                <w:sz w:val="18"/>
                <w:szCs w:val="18"/>
              </w:rPr>
              <w:t xml:space="preserve">2 100 000</w:t>
            </w:r>
          </w:p>
        </w:tc>
      </w:tr>
      <w:tr>
        <w:tc>
          <w:tcPr>
            <w:tcW w:w="6626" w:type="dxa"/>
          </w:tcPr>
          <w:p>
            <w:pPr>
              <w:spacing w:after="20"/>
            </w:pPr>
            <w:r>
              <w:rPr>
                <w:sz w:val="18"/>
                <w:szCs w:val="18"/>
              </w:rPr>
              <w:t xml:space="preserve">Trade and other receivables</w:t>
            </w:r>
          </w:p>
        </w:tc>
        <w:tc>
          <w:tcPr>
            <w:tcW w:w="800" w:type="dxa"/>
          </w:tcPr>
          <w:p>
            <w:pPr>
              <w:jc w:val="center"/>
              <w:spacing w:after="20"/>
            </w:pPr>
            <w:hyperlink w:anchor="note_5" w:history="1">
              <w:r>
                <w:rPr>
                  <w:color w:val="1F4E3D"/>
                  <w:sz w:val="18"/>
                  <w:szCs w:val="18"/>
                </w:rPr>
                <w:t xml:space="preserve">5</w:t>
              </w:r>
            </w:hyperlink>
          </w:p>
        </w:tc>
        <w:tc>
          <w:tcPr>
            <w:tcW w:w="1500" w:type="dxa"/>
          </w:tcPr>
          <w:p>
            <w:pPr>
              <w:jc w:val="right"/>
              <w:spacing w:after="20"/>
            </w:pPr>
            <w:r>
              <w:rPr>
                <w:sz w:val="18"/>
                <w:szCs w:val="18"/>
              </w:rPr>
              <w:t xml:space="preserve">1 650 000</w:t>
            </w:r>
          </w:p>
        </w:tc>
      </w:tr>
      <w:tr>
        <w:tc>
          <w:tcPr>
            <w:tcW w:w="6626" w:type="dxa"/>
          </w:tcPr>
          <w:p>
            <w:pPr>
              <w:spacing w:after="20"/>
            </w:pPr>
            <w:r>
              <w:rPr>
                <w:sz w:val="18"/>
                <w:szCs w:val="18"/>
              </w:rPr>
              <w:t xml:space="preserve">Cash and cash equivalents</w:t>
            </w:r>
          </w:p>
        </w:tc>
        <w:tc>
          <w:tcPr>
            <w:tcW w:w="800" w:type="dxa"/>
          </w:tcPr>
          <w:p>
            <w:pPr>
              <w:jc w:val="center"/>
              <w:spacing w:after="20"/>
            </w:pPr>
            <w:hyperlink w:anchor="note_12" w:history="1">
              <w:r>
                <w:rPr>
                  <w:color w:val="1F4E3D"/>
                  <w:sz w:val="18"/>
                  <w:szCs w:val="18"/>
                </w:rPr>
                <w:t xml:space="preserve">12</w:t>
              </w:r>
            </w:hyperlink>
          </w:p>
        </w:tc>
        <w:tc>
          <w:tcPr>
            <w:tcW w:w="1500" w:type="dxa"/>
          </w:tcPr>
          <w:p>
            <w:pPr>
              <w:jc w:val="right"/>
              <w:spacing w:after="20"/>
            </w:pPr>
            <w:r>
              <w:rPr>
                <w:sz w:val="18"/>
                <w:szCs w:val="18"/>
              </w:rPr>
              <w:t xml:space="preserve">980 000</w:t>
            </w:r>
          </w:p>
        </w:tc>
      </w:tr>
      <w:tr>
        <w:tc>
          <w:tcPr>
            <w:tcW w:w="6626" w:type="dxa"/>
          </w:tcPr>
          <w:p>
            <w:pPr>
              <w:spacing w:after="20"/>
            </w:pPr>
            <w:r>
              <w:rPr>
                <w:b/>
                <w:sz w:val="18"/>
                <w:szCs w:val="18"/>
              </w:rPr>
              <w:t xml:space="preserve">Total assets</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13 230 000</w:t>
            </w:r>
          </w:p>
        </w:tc>
      </w:tr>
      <w:tr>
        <w:tc>
          <w:tcPr>
            <w:tcW w:w="6626" w:type="dxa"/>
          </w:tcPr>
          <w:p>
            <w:pPr>
              <w:spacing w:after="20"/>
            </w:pPr>
            <w:r>
              <w:rPr>
                <w:sz w:val="18"/>
                <w:szCs w:val="18"/>
              </w:rPr>
              <w:t xml:space="preserve">Share capital</w:t>
            </w:r>
          </w:p>
        </w:tc>
        <w:tc>
          <w:tcPr>
            <w:tcW w:w="800" w:type="dxa"/>
          </w:tcPr>
          <w:p>
            <w:pPr>
              <w:jc w:val="center"/>
              <w:spacing w:after="20"/>
            </w:pPr>
            <w:hyperlink w:anchor="note_6" w:history="1">
              <w:r>
                <w:rPr>
                  <w:color w:val="1F4E3D"/>
                  <w:sz w:val="18"/>
                  <w:szCs w:val="18"/>
                </w:rPr>
                <w:t xml:space="preserve">6</w:t>
              </w:r>
            </w:hyperlink>
          </w:p>
        </w:tc>
        <w:tc>
          <w:tcPr>
            <w:tcW w:w="1500" w:type="dxa"/>
          </w:tcPr>
          <w:p>
            <w:pPr>
              <w:jc w:val="right"/>
              <w:spacing w:after="20"/>
            </w:pPr>
            <w:r>
              <w:rPr>
                <w:sz w:val="18"/>
                <w:szCs w:val="18"/>
              </w:rPr>
              <w:t xml:space="preserve">1 000 000</w:t>
            </w:r>
          </w:p>
        </w:tc>
      </w:tr>
      <w:tr>
        <w:tc>
          <w:tcPr>
            <w:tcW w:w="6626" w:type="dxa"/>
          </w:tcPr>
          <w:p>
            <w:pPr>
              <w:spacing w:after="20"/>
            </w:pPr>
            <w:r>
              <w:rPr>
                <w:sz w:val="18"/>
                <w:szCs w:val="18"/>
              </w:rPr>
              <w:t xml:space="preserve">Retained earnings</w:t>
            </w:r>
          </w:p>
        </w:tc>
        <w:tc>
          <w:tcPr>
            <w:tcW w:w="800" w:type="dxa"/>
          </w:tcPr>
          <w:p>
            <w:pPr>
              <w:jc w:val="center"/>
              <w:spacing w:after="20"/>
            </w:pPr>
            <w:hyperlink w:anchor="note_6" w:history="1">
              <w:r>
                <w:rPr>
                  <w:color w:val="1F4E3D"/>
                  <w:sz w:val="18"/>
                  <w:szCs w:val="18"/>
                </w:rPr>
                <w:t xml:space="preserve">6</w:t>
              </w:r>
            </w:hyperlink>
          </w:p>
        </w:tc>
        <w:tc>
          <w:tcPr>
            <w:tcW w:w="1500" w:type="dxa"/>
          </w:tcPr>
          <w:p>
            <w:pPr>
              <w:jc w:val="right"/>
              <w:spacing w:after="20"/>
            </w:pPr>
            <w:r>
              <w:rPr>
                <w:sz w:val="18"/>
                <w:szCs w:val="18"/>
              </w:rPr>
              <w:t xml:space="preserve">8 230 000</w:t>
            </w:r>
          </w:p>
        </w:tc>
      </w:tr>
      <w:tr>
        <w:tc>
          <w:tcPr>
            <w:tcW w:w="6626" w:type="dxa"/>
          </w:tcPr>
          <w:p>
            <w:pPr>
              <w:spacing w:after="20"/>
            </w:pPr>
            <w:r>
              <w:rPr>
                <w:sz w:val="18"/>
                <w:szCs w:val="18"/>
              </w:rPr>
              <w:t xml:space="preserve">Trade and other payables</w:t>
            </w:r>
          </w:p>
        </w:tc>
        <w:tc>
          <w:tcPr>
            <w:tcW w:w="800" w:type="dxa"/>
          </w:tcPr>
          <w:p>
            <w:pPr>
              <w:jc w:val="center"/>
              <w:spacing w:after="20"/>
            </w:pPr>
            <w:hyperlink w:anchor="note_8" w:history="1">
              <w:r>
                <w:rPr>
                  <w:color w:val="1F4E3D"/>
                  <w:sz w:val="18"/>
                  <w:szCs w:val="18"/>
                </w:rPr>
                <w:t xml:space="preserve">8</w:t>
              </w:r>
            </w:hyperlink>
          </w:p>
        </w:tc>
        <w:tc>
          <w:tcPr>
            <w:tcW w:w="1500" w:type="dxa"/>
          </w:tcPr>
          <w:p>
            <w:pPr>
              <w:jc w:val="right"/>
              <w:spacing w:after="20"/>
            </w:pPr>
            <w:r>
              <w:rPr>
                <w:sz w:val="18"/>
                <w:szCs w:val="18"/>
              </w:rPr>
              <w:t xml:space="preserve">1 900 000</w:t>
            </w:r>
          </w:p>
        </w:tc>
      </w:tr>
      <w:tr>
        <w:tc>
          <w:tcPr>
            <w:tcW w:w="6626" w:type="dxa"/>
          </w:tcPr>
          <w:p>
            <w:pPr>
              <w:spacing w:after="20"/>
            </w:pPr>
            <w:r>
              <w:rPr>
                <w:sz w:val="18"/>
                <w:szCs w:val="18"/>
              </w:rPr>
              <w:t xml:space="preserve">Borrowings</w:t>
            </w:r>
          </w:p>
        </w:tc>
        <w:tc>
          <w:tcPr>
            <w:tcW w:w="800" w:type="dxa"/>
          </w:tcPr>
          <w:p>
            <w:pPr>
              <w:jc w:val="center"/>
              <w:spacing w:after="20"/>
            </w:pPr>
            <w:hyperlink w:anchor="note_7" w:history="1">
              <w:r>
                <w:rPr>
                  <w:color w:val="1F4E3D"/>
                  <w:sz w:val="18"/>
                  <w:szCs w:val="18"/>
                </w:rPr>
                <w:t xml:space="preserve">7</w:t>
              </w:r>
            </w:hyperlink>
          </w:p>
        </w:tc>
        <w:tc>
          <w:tcPr>
            <w:tcW w:w="1500" w:type="dxa"/>
          </w:tcPr>
          <w:p>
            <w:pPr>
              <w:jc w:val="right"/>
              <w:spacing w:after="20"/>
            </w:pPr>
            <w:r>
              <w:rPr>
                <w:sz w:val="18"/>
                <w:szCs w:val="18"/>
              </w:rPr>
              <w:t xml:space="preserve">2 100 000</w:t>
            </w:r>
          </w:p>
        </w:tc>
      </w:tr>
      <w:tr>
        <w:tc>
          <w:tcPr>
            <w:tcW w:w="6626" w:type="dxa"/>
          </w:tcPr>
          <w:p>
            <w:pPr>
              <w:spacing w:after="20"/>
            </w:pPr>
            <w:r>
              <w:rPr>
                <w:b/>
                <w:sz w:val="18"/>
                <w:szCs w:val="18"/>
              </w:rPr>
              <w:t xml:space="preserve">Total equity and liabilities</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13 230 000</w:t>
            </w:r>
          </w:p>
        </w:tc>
      </w:tr>
    </w:tbl>
    <w:p>
      <w:pPr>
        <w:spacing w:after="60"/>
      </w:pPr>
      <w:r>
        <w:t xml:space="preserve"/>
      </w:r>
    </w:p>
    <w:p>
      <w:pPr>
        <w:pStyle w:val="Heading1"/>
        <w:spacing w:after="120"/>
      </w:pPr>
      <w:r>
        <w:rPr>
          <w:b/>
          <w:sz w:val="24"/>
          <w:szCs w:val="24"/>
        </w:rPr>
        <w:t xml:space="preserve">Statement of Comprehensive Income</w:t>
      </w:r>
    </w:p>
    <w:p>
      <w:pPr>
        <w:spacing w:after="60"/>
      </w:pPr>
      <w:r>
        <w:rPr>
          <w:i/>
          <w:color w:val="595959"/>
        </w:rPr>
        <w:t xml:space="preserve">For the year ended 31 March 2026</w:t>
      </w:r>
    </w:p>
    <w:tbl>
      <w:tblPr>
        <w:tblW w:w="0" w:type="auto"/>
        <w:tblLayout w:type="fixed"/>
        <w:tblCellMar>
          <w:left w:w="60" w:type="dxa"/>
          <w:right w:w="60" w:type="dxa"/>
        </w:tblCellMar>
      </w:tblPr>
      <w:tblGrid>
        <w:gridCol w:w="6626"/>
        <w:gridCol w:w="800"/>
        <w:gridCol w:w="1500"/>
      </w:tblGrid>
      <w:tr>
        <w:trPr>
          <w:tblHeader/>
        </w:trPr>
        <w:tc>
          <w:tcPr>
            <w:tcW w:w="6626" w:type="dxa"/>
            <w:tcBorders>
              <w:bottom w:val="single" w:sz="6" w:space="0" w:color="404040"/>
            </w:tcBorders>
          </w:tcPr>
          <w:p>
            <w:pPr>
              <w:spacing w:after="20"/>
            </w:pPr>
            <w:r>
              <w:rPr>
                <w:color w:val="595959"/>
                <w:sz w:val="16"/>
                <w:szCs w:val="16"/>
              </w:rPr>
              <w:t xml:space="preserve">Figures in Rand</w:t>
            </w: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r>
      <w:tr>
        <w:tc>
          <w:tcPr>
            <w:tcW w:w="6626" w:type="dxa"/>
          </w:tcPr>
          <w:p>
            <w:pPr>
              <w:spacing w:after="20"/>
            </w:pPr>
            <w:r>
              <w:rPr>
                <w:sz w:val="18"/>
                <w:szCs w:val="18"/>
              </w:rPr>
              <w:t xml:space="preserve">Revenue</w:t>
            </w:r>
          </w:p>
        </w:tc>
        <w:tc>
          <w:tcPr>
            <w:tcW w:w="800" w:type="dxa"/>
          </w:tcPr>
          <w:p>
            <w:pPr>
              <w:jc w:val="center"/>
              <w:spacing w:after="20"/>
            </w:pPr>
            <w:hyperlink w:anchor="note_10" w:history="1">
              <w:r>
                <w:rPr>
                  <w:color w:val="1F4E3D"/>
                  <w:sz w:val="18"/>
                  <w:szCs w:val="18"/>
                </w:rPr>
                <w:t xml:space="preserve">10</w:t>
              </w:r>
            </w:hyperlink>
          </w:p>
        </w:tc>
        <w:tc>
          <w:tcPr>
            <w:tcW w:w="1500" w:type="dxa"/>
          </w:tcPr>
          <w:p>
            <w:pPr>
              <w:jc w:val="right"/>
              <w:spacing w:after="20"/>
            </w:pPr>
            <w:r>
              <w:rPr>
                <w:sz w:val="18"/>
                <w:szCs w:val="18"/>
              </w:rPr>
              <w:t xml:space="preserve">18 500 000</w:t>
            </w:r>
          </w:p>
        </w:tc>
      </w:tr>
      <w:tr>
        <w:tc>
          <w:tcPr>
            <w:tcW w:w="6626" w:type="dxa"/>
          </w:tcPr>
          <w:p>
            <w:pPr>
              <w:spacing w:after="20"/>
            </w:pPr>
            <w:r>
              <w:rPr>
                <w:b/>
                <w:sz w:val="18"/>
                <w:szCs w:val="18"/>
              </w:rPr>
              <w:t xml:space="preserve">Expenses</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(14 200 000)</w:t>
            </w:r>
          </w:p>
        </w:tc>
      </w:tr>
      <w:tr>
        <w:tc>
          <w:tcPr>
            <w:tcW w:w="6626" w:type="dxa"/>
          </w:tcPr>
          <w:p>
            <w:pPr>
              <w:spacing w:after="20"/>
            </w:pPr>
            <w:r>
              <w:rPr>
                <w:sz w:val="18"/>
                <w:szCs w:val="18"/>
              </w:rPr>
              <w:t xml:space="preserve">Finance costs</w:t>
            </w:r>
          </w:p>
        </w:tc>
        <w:tc>
          <w:tcPr>
            <w:tcW w:w="800" w:type="dxa"/>
          </w:tcPr>
          <w:p>
            <w:pPr>
              <w:jc w:val="center"/>
              <w:spacing w:after="20"/>
            </w:pPr>
            <w:hyperlink w:anchor="note_7" w:history="1">
              <w:r>
                <w:rPr>
                  <w:color w:val="1F4E3D"/>
                  <w:sz w:val="18"/>
                  <w:szCs w:val="18"/>
                </w:rPr>
                <w:t xml:space="preserve">7</w:t>
              </w:r>
            </w:hyperlink>
          </w:p>
        </w:tc>
        <w:tc>
          <w:tcPr>
            <w:tcW w:w="1500" w:type="dxa"/>
          </w:tcPr>
          <w:p>
            <w:pPr>
              <w:jc w:val="right"/>
              <w:spacing w:after="20"/>
            </w:pPr>
            <w:r>
              <w:rPr>
                <w:sz w:val="18"/>
                <w:szCs w:val="18"/>
              </w:rPr>
              <w:t xml:space="preserve">420 000</w:t>
            </w:r>
          </w:p>
        </w:tc>
      </w:tr>
      <w:tr>
        <w:tc>
          <w:tcPr>
            <w:tcW w:w="6626" w:type="dxa"/>
          </w:tcPr>
          <w:p>
            <w:pPr>
              <w:spacing w:after="20"/>
            </w:pPr>
            <w:r>
              <w:rPr>
                <w:sz w:val="18"/>
                <w:szCs w:val="18"/>
              </w:rPr>
              <w:t xml:space="preserve">Tax expense</w:t>
            </w:r>
          </w:p>
        </w:tc>
        <w:tc>
          <w:tcPr>
            <w:tcW w:w="800" w:type="dxa"/>
          </w:tcPr>
          <w:p>
            <w:pPr>
              <w:jc w:val="center"/>
              <w:spacing w:after="20"/>
            </w:pPr>
            <w:hyperlink w:anchor="note_11" w:history="1">
              <w:r>
                <w:rPr>
                  <w:color w:val="1F4E3D"/>
                  <w:sz w:val="18"/>
                  <w:szCs w:val="18"/>
                </w:rPr>
                <w:t xml:space="preserve">11</w:t>
              </w:r>
            </w:hyperlink>
          </w:p>
        </w:tc>
        <w:tc>
          <w:tcPr>
            <w:tcW w:w="1500" w:type="dxa"/>
          </w:tcPr>
          <w:p>
            <w:pPr>
              <w:jc w:val="right"/>
              <w:spacing w:after="20"/>
            </w:pPr>
            <w:r>
              <w:rPr>
                <w:sz w:val="18"/>
                <w:szCs w:val="18"/>
              </w:rPr>
              <w:t xml:space="preserve">972 500</w:t>
            </w:r>
          </w:p>
        </w:tc>
      </w:tr>
      <w:tr>
        <w:tc>
          <w:tcPr>
            <w:tcW w:w="6626" w:type="dxa"/>
          </w:tcPr>
          <w:p>
            <w:pPr>
              <w:spacing w:after="20"/>
            </w:pPr>
            <w:r>
              <w:rPr>
                <w:b/>
                <w:sz w:val="18"/>
                <w:szCs w:val="18"/>
              </w:rPr>
              <w:t xml:space="preserve">Profit before tax</w:t>
            </w:r>
          </w:p>
        </w:tc>
        <w:tc>
          <w:tcPr>
            <w:tcW w:w="800" w:type="dxa"/>
          </w:tcPr>
          <w:p>
            <w:pPr>
              <w:jc w:val="center"/>
              <w:spacing w:after="20"/>
            </w:pPr>
          </w:p>
        </w:tc>
        <w:tc>
          <w:tcPr>
            <w:tcW w:w="1500" w:type="dxa"/>
            <w:tcBorders>
              <w:top w:val="single" w:sz="4" w:space="0" w:color="595959"/>
            </w:tcBorders>
          </w:tcPr>
          <w:p>
            <w:pPr>
              <w:jc w:val="right"/>
              <w:spacing w:after="20"/>
            </w:pPr>
            <w:r>
              <w:rPr>
                <w:b/>
                <w:sz w:val="18"/>
                <w:szCs w:val="18"/>
              </w:rPr>
              <w:t xml:space="preserve">3 880 000</w:t>
            </w:r>
          </w:p>
        </w:tc>
      </w:tr>
    </w:tbl>
    <w:p>
      <w:pPr>
        <w:spacing w:after="60"/>
      </w:pPr>
      <w:r>
        <w:t xml:space="preserve"/>
      </w:r>
    </w:p>
    <w:p>
      <w:pPr>
        <w:pStyle w:val="Heading1"/>
        <w:spacing w:after="120"/>
      </w:pPr>
      <w:r>
        <w:rPr>
          <w:b/>
          <w:sz w:val="24"/>
          <w:szCs w:val="24"/>
        </w:rPr>
        <w:t xml:space="preserve">Statement of Changes in Equity</w:t>
      </w:r>
    </w:p>
    <w:p>
      <w:pPr>
        <w:spacing w:after="60"/>
      </w:pPr>
      <w:r>
        <w:rPr>
          <w:i/>
          <w:color w:val="595959"/>
        </w:rPr>
        <w:t xml:space="preserve">For the year ended 31 March 2026</w:t>
      </w:r>
    </w:p>
    <w:tbl>
      <w:tblPr>
        <w:tblW w:w="0" w:type="auto"/>
        <w:tblLayout w:type="fixed"/>
        <w:tblCellMar>
          <w:left w:w="60" w:type="dxa"/>
          <w:right w:w="60" w:type="dxa"/>
        </w:tblCellMar>
      </w:tblPr>
      <w:tblGrid>
        <w:gridCol w:w="6626"/>
        <w:gridCol w:w="800"/>
        <w:gridCol w:w="1500"/>
      </w:tblGrid>
      <w:tr>
        <w:trPr>
          <w:tblHeader/>
        </w:trPr>
        <w:tc>
          <w:tcPr>
            <w:tcW w:w="6626" w:type="dxa"/>
            <w:tcBorders>
              <w:bottom w:val="single" w:sz="6" w:space="0" w:color="404040"/>
            </w:tcBorders>
          </w:tcPr>
          <w:p>
            <w:pPr>
              <w:spacing w:after="20"/>
            </w:pPr>
            <w:r>
              <w:rPr>
                <w:color w:val="595959"/>
                <w:sz w:val="16"/>
                <w:szCs w:val="16"/>
              </w:rPr>
              <w:t xml:space="preserve">Figures in Rand</w:t>
            </w: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r>
      <w:tr>
        <w:tc>
          <w:tcPr>
            <w:tcW w:w="6626" w:type="dxa"/>
          </w:tcPr>
          <w:p>
            <w:pPr>
              <w:spacing w:after="20"/>
            </w:pPr>
            <w:r>
              <w:rPr>
                <w:sz w:val="18"/>
                <w:szCs w:val="18"/>
              </w:rPr>
              <w:t xml:space="preserve">Opening equity</w:t>
            </w:r>
          </w:p>
        </w:tc>
        <w:tc>
          <w:tcPr>
            <w:tcW w:w="800" w:type="dxa"/>
          </w:tcPr>
          <w:p>
            <w:pPr>
              <w:jc w:val="center"/>
              <w:spacing w:after="20"/>
            </w:pPr>
          </w:p>
        </w:tc>
        <w:tc>
          <w:tcPr>
            <w:tcW w:w="1500" w:type="dxa"/>
          </w:tcPr>
          <w:p>
            <w:pPr>
              <w:jc w:val="right"/>
              <w:spacing w:after="20"/>
            </w:pPr>
            <w:r>
              <w:rPr>
                <w:sz w:val="18"/>
                <w:szCs w:val="18"/>
              </w:rPr>
              <w:t xml:space="preserve">6 322 500</w:t>
            </w:r>
          </w:p>
        </w:tc>
      </w:tr>
      <w:tr>
        <w:tc>
          <w:tcPr>
            <w:tcW w:w="6626" w:type="dxa"/>
          </w:tcPr>
          <w:p>
            <w:pPr>
              <w:spacing w:after="20"/>
            </w:pPr>
            <w:r>
              <w:rPr>
                <w:sz w:val="18"/>
                <w:szCs w:val="18"/>
              </w:rPr>
              <w:t xml:space="preserve">Profit for the period</w:t>
            </w:r>
          </w:p>
        </w:tc>
        <w:tc>
          <w:tcPr>
            <w:tcW w:w="800" w:type="dxa"/>
          </w:tcPr>
          <w:p>
            <w:pPr>
              <w:jc w:val="center"/>
              <w:spacing w:after="20"/>
            </w:pPr>
          </w:p>
        </w:tc>
        <w:tc>
          <w:tcPr>
            <w:tcW w:w="1500" w:type="dxa"/>
          </w:tcPr>
          <w:p>
            <w:pPr>
              <w:jc w:val="right"/>
              <w:spacing w:after="20"/>
            </w:pPr>
            <w:r>
              <w:rPr>
                <w:sz w:val="18"/>
                <w:szCs w:val="18"/>
              </w:rPr>
              <w:t xml:space="preserve">2 907 500</w:t>
            </w:r>
          </w:p>
        </w:tc>
      </w:tr>
      <w:tr>
        <w:tc>
          <w:tcPr>
            <w:tcW w:w="6626" w:type="dxa"/>
          </w:tcPr>
          <w:p>
            <w:pPr>
              <w:spacing w:after="20"/>
            </w:pPr>
            <w:r>
              <w:rPr>
                <w:b/>
                <w:sz w:val="18"/>
                <w:szCs w:val="18"/>
              </w:rPr>
              <w:t xml:space="preserve">Closing equity</w:t>
            </w:r>
          </w:p>
        </w:tc>
        <w:tc>
          <w:tcPr>
            <w:tcW w:w="800" w:type="dxa"/>
          </w:tcPr>
          <w:p>
            <w:pPr>
              <w:jc w:val="center"/>
              <w:spacing w:after="20"/>
            </w:pPr>
          </w:p>
        </w:tc>
        <w:tc>
          <w:tcPr>
            <w:tcW w:w="1500" w:type="dxa"/>
            <w:tcBorders>
              <w:top w:val="single" w:sz="4" w:space="0" w:color="595959"/>
              <w:bottom w:val="double" w:sz="4" w:space="0" w:color="262626"/>
            </w:tcBorders>
          </w:tcPr>
          <w:p>
            <w:pPr>
              <w:jc w:val="right"/>
              <w:spacing w:after="20"/>
            </w:pPr>
            <w:r>
              <w:rPr>
                <w:b/>
                <w:sz w:val="18"/>
                <w:szCs w:val="18"/>
              </w:rPr>
              <w:t xml:space="preserve">9 230 000</w:t>
            </w:r>
          </w:p>
        </w:tc>
      </w:tr>
    </w:tbl>
    <w:p>
      <w:pPr>
        <w:spacing w:after="60"/>
      </w:pPr>
      <w:r>
        <w:t xml:space="preserve"/>
      </w:r>
    </w:p>
    <w:p>
      <w:pPr>
        <w:pStyle w:val="Heading1"/>
        <w:spacing w:after="120"/>
      </w:pPr>
      <w:r>
        <w:rPr>
          <w:b/>
          <w:sz w:val="24"/>
          <w:szCs w:val="24"/>
        </w:rPr>
        <w:t xml:space="preserve">Statement of Cash Flows</w:t>
      </w:r>
    </w:p>
    <w:p>
      <w:pPr>
        <w:spacing w:after="60"/>
      </w:pPr>
      <w:r>
        <w:rPr>
          <w:i/>
          <w:color w:val="595959"/>
        </w:rPr>
        <w:t xml:space="preserve">For the year ended 31 March 2026</w:t>
      </w:r>
    </w:p>
    <w:tbl>
      <w:tblPr>
        <w:tblW w:w="0" w:type="auto"/>
        <w:tblLayout w:type="fixed"/>
        <w:tblCellMar>
          <w:left w:w="60" w:type="dxa"/>
          <w:right w:w="60" w:type="dxa"/>
        </w:tblCellMar>
      </w:tblPr>
      <w:tblGrid>
        <w:gridCol w:w="6626"/>
        <w:gridCol w:w="800"/>
        <w:gridCol w:w="1500"/>
      </w:tblGrid>
      <w:tr>
        <w:trPr>
          <w:tblHeader/>
        </w:trPr>
        <w:tc>
          <w:tcPr>
            <w:tcW w:w="6626" w:type="dxa"/>
            <w:tcBorders>
              <w:bottom w:val="single" w:sz="6" w:space="0" w:color="404040"/>
            </w:tcBorders>
          </w:tcPr>
          <w:p>
            <w:pPr>
              <w:spacing w:after="20"/>
            </w:pPr>
            <w:r>
              <w:rPr>
                <w:color w:val="595959"/>
                <w:sz w:val="16"/>
                <w:szCs w:val="16"/>
              </w:rPr>
              <w:t xml:space="preserve">Figures in Rand</w:t>
            </w:r>
          </w:p>
        </w:tc>
        <w:tc>
          <w:tcPr>
            <w:tcW w:w="800" w:type="dxa"/>
            <w:tcBorders>
              <w:bottom w:val="single" w:sz="6" w:space="0" w:color="404040"/>
            </w:tcBorders>
          </w:tcPr>
          <w:p>
            <w:pPr>
              <w:jc w:val="center"/>
              <w:spacing w:after="20"/>
            </w:pPr>
            <w:r>
              <w:rPr>
                <w:b/>
                <w:color w:val="595959"/>
                <w:sz w:val="16"/>
                <w:szCs w:val="16"/>
              </w:rPr>
              <w:t xml:space="preserve">Notes</w:t>
            </w:r>
          </w:p>
        </w:tc>
        <w:tc>
          <w:tcPr>
            <w:tcW w:w="1500" w:type="dxa"/>
            <w:tcBorders>
              <w:bottom w:val="single" w:sz="6" w:space="0" w:color="404040"/>
            </w:tcBorders>
          </w:tcPr>
          <w:p>
            <w:pPr>
              <w:jc w:val="right"/>
              <w:spacing w:after="20"/>
            </w:pPr>
            <w:r>
              <w:rPr>
                <w:b/>
                <w:sz w:val="18"/>
                <w:szCs w:val="18"/>
              </w:rPr>
              <w:t xml:space="preserve">2026</w:t>
            </w:r>
            <w:r>
              <w:br/>
            </w:r>
            <w:r>
              <w:rPr>
                <w:i/>
                <w:color w:val="737373"/>
                <w:sz w:val="16"/>
                <w:szCs w:val="16"/>
              </w:rPr>
              <w:t xml:space="preserve">R</w:t>
            </w:r>
          </w:p>
        </w:tc>
      </w:tr>
      <w:tr>
        <w:tc>
          <w:tcPr>
            <w:tcW w:w="6626" w:type="dxa"/>
          </w:tcPr>
          <w:p>
            <w:pPr>
              <w:spacing w:after="20"/>
            </w:pPr>
            <w:r>
              <w:rPr>
                <w:sz w:val="18"/>
                <w:szCs w:val="18"/>
              </w:rPr>
              <w:t xml:space="preserve">Net cash from operating activities</w:t>
            </w:r>
          </w:p>
        </w:tc>
        <w:tc>
          <w:tcPr>
            <w:tcW w:w="800" w:type="dxa"/>
          </w:tcPr>
          <w:p>
            <w:pPr>
              <w:jc w:val="center"/>
              <w:spacing w:after="20"/>
            </w:pPr>
          </w:p>
        </w:tc>
        <w:tc>
          <w:tcPr>
            <w:tcW w:w="1500" w:type="dxa"/>
          </w:tcPr>
          <w:p>
            <w:pPr>
              <w:jc w:val="right"/>
              <w:spacing w:after="20"/>
            </w:pPr>
            <w:r>
              <w:rPr>
                <w:sz w:val="18"/>
                <w:szCs w:val="18"/>
              </w:rPr>
              <w:t xml:space="preserve">3 100 000</w:t>
            </w:r>
          </w:p>
        </w:tc>
      </w:tr>
      <w:tr>
        <w:tc>
          <w:tcPr>
            <w:tcW w:w="6626" w:type="dxa"/>
          </w:tcPr>
          <w:p>
            <w:pPr>
              <w:spacing w:after="20"/>
            </w:pPr>
            <w:r>
              <w:rPr>
                <w:sz w:val="18"/>
                <w:szCs w:val="18"/>
              </w:rPr>
              <w:t xml:space="preserve">Net cash from investing activities</w:t>
            </w:r>
          </w:p>
        </w:tc>
        <w:tc>
          <w:tcPr>
            <w:tcW w:w="800" w:type="dxa"/>
          </w:tcPr>
          <w:p>
            <w:pPr>
              <w:jc w:val="center"/>
              <w:spacing w:after="20"/>
            </w:pPr>
          </w:p>
        </w:tc>
        <w:tc>
          <w:tcPr>
            <w:tcW w:w="1500" w:type="dxa"/>
          </w:tcPr>
          <w:p>
            <w:pPr>
              <w:jc w:val="right"/>
              <w:spacing w:after="20"/>
            </w:pPr>
            <w:r>
              <w:rPr>
                <w:sz w:val="18"/>
                <w:szCs w:val="18"/>
              </w:rPr>
              <w:t xml:space="preserve">(1 250 000)</w:t>
            </w:r>
          </w:p>
        </w:tc>
      </w:tr>
      <w:tr>
        <w:tc>
          <w:tcPr>
            <w:tcW w:w="6626" w:type="dxa"/>
          </w:tcPr>
          <w:p>
            <w:pPr>
              <w:spacing w:after="20"/>
            </w:pPr>
            <w:r>
              <w:rPr>
                <w:sz w:val="18"/>
                <w:szCs w:val="18"/>
              </w:rPr>
              <w:t xml:space="preserve">Net cash from financing activities</w:t>
            </w:r>
          </w:p>
        </w:tc>
        <w:tc>
          <w:tcPr>
            <w:tcW w:w="800" w:type="dxa"/>
          </w:tcPr>
          <w:p>
            <w:pPr>
              <w:jc w:val="center"/>
              <w:spacing w:after="20"/>
            </w:pPr>
          </w:p>
        </w:tc>
        <w:tc>
          <w:tcPr>
            <w:tcW w:w="1500" w:type="dxa"/>
          </w:tcPr>
          <w:p>
            <w:pPr>
              <w:jc w:val="right"/>
              <w:spacing w:after="20"/>
            </w:pPr>
            <w:r>
              <w:rPr>
                <w:sz w:val="18"/>
                <w:szCs w:val="18"/>
              </w:rPr>
              <w:t xml:space="preserve">(870 000)</w:t>
            </w:r>
          </w:p>
        </w:tc>
      </w:tr>
    </w:tbl>
    <w:p>
      <w:pPr>
        <w:spacing w:after="60"/>
      </w:pPr>
      <w:r>
        <w:t xml:space="preserve"/>
      </w:r>
    </w:p>
    <w:p>
      <w:pPr>
        <w:pStyle w:val="Heading1"/>
        <w:spacing w:after="120"/>
      </w:pPr>
      <w:r>
        <w:rPr>
          <w:b/>
          <w:sz w:val="26"/>
          <w:szCs w:val="26"/>
        </w:rPr>
        <w:t xml:space="preserve">Accounting Policies</w:t>
      </w:r>
    </w:p>
    <w:p>
      <w:pPr>
        <w:pStyle w:val="Heading2"/>
        <w:spacing w:after="120"/>
      </w:pPr>
      <w:r>
        <w:rPr>
          <w:b/>
          <w:sz w:val="20"/>
          <w:szCs w:val="20"/>
        </w:rPr>
        <w:t xml:space="preserve">1. Basis of preparation and summary of significant accounting policies</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1.1 Significant judgements and sources of estimation uncertainty</w:t>
      </w:r>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r>
        <w:rPr>
          <w:b/>
          <w:sz w:val="20"/>
          <w:szCs w:val="20"/>
        </w:rPr>
        <w:t xml:space="preserve">1.2 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1.3 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1.4 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1.5 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1.6 Inventories</w:t>
      </w:r>
    </w:p>
    <w:p>
      <w:pPr>
        <w:spacing w:after="120"/>
      </w:pPr>
      <w:r>
        <w:t xml:space="preserve">Inventories are measured initially at cost, comprising all costs of purchase, costs of conversion and other costs incurred in bringing the inventories to their present location and condition. Inventories are subsequently measured at the lower of cost and estimated selling price less costs to complete and sell. Cost is assigned using the first-in, first-out or weighted-average cost formula. The same cost formula is used for all inventories having a similar nature and use.</w:t>
      </w:r>
    </w:p>
    <w:p>
      <w:pPr>
        <w:pStyle w:val="Heading2"/>
        <w:spacing w:after="120"/>
      </w:pPr>
      <w:r>
        <w:rPr>
          <w:b/>
          <w:sz w:val="20"/>
          <w:szCs w:val="20"/>
        </w:rPr>
        <w:t xml:space="preserve">1.7 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1.8 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1.9 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1.10 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1.11 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Annual Financial Statements</w:t>
      </w:r>
    </w:p>
    <w:p>
      <w:pPr>
        <w:pStyle w:val="Heading2"/>
        <w:spacing w:after="120"/>
      </w:pPr>
      <w:bookmarkStart w:id="1" w:name="note_2"/>
      <w:r>
        <w:rPr>
          <w:b/>
          <w:sz w:val="20"/>
          <w:szCs w:val="20"/>
        </w:rPr>
        <w:t xml:space="preserve">2. General information</w:t>
      </w:r>
      <w:bookmarkEnd w:id="1"/>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bookmarkStart w:id="2" w:name="note_3"/>
      <w:r>
        <w:rPr>
          <w:b/>
          <w:sz w:val="20"/>
          <w:szCs w:val="20"/>
        </w:rPr>
        <w:t xml:space="preserve">3. Property, plant and equipment</w:t>
      </w:r>
      <w:bookmarkEnd w:id="2"/>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pStyle w:val="Heading2"/>
        <w:spacing w:after="120"/>
      </w:pPr>
      <w:bookmarkStart w:id="3" w:name="note_4"/>
      <w:r>
        <w:rPr>
          <w:b/>
          <w:sz w:val="20"/>
          <w:szCs w:val="20"/>
        </w:rPr>
        <w:t xml:space="preserve">4. Inventories</w:t>
      </w:r>
      <w:bookmarkEnd w:id="3"/>
    </w:p>
    <w:p>
      <w:pPr>
        <w:spacing w:after="120"/>
      </w:pPr>
      <w:r>
        <w:t xml:space="preserve">Inventories are stated at the lower of cost and estimated selling price less costs to complete and sell. The carrying amounts by category and any write-down recognised as an expense are set out below.</w:t>
      </w:r>
    </w:p>
    <w:p>
      <w:pPr>
        <w:pStyle w:val="Heading2"/>
        <w:spacing w:after="120"/>
      </w:pPr>
      <w:bookmarkStart w:id="4" w:name="note_5"/>
      <w:r>
        <w:rPr>
          <w:b/>
          <w:sz w:val="20"/>
          <w:szCs w:val="20"/>
        </w:rPr>
        <w:t xml:space="preserve">5. Trade and other receivables</w:t>
      </w:r>
      <w:bookmarkEnd w:id="4"/>
    </w:p>
    <w:p>
      <w:pPr>
        <w:spacing w:after="120"/>
      </w:pPr>
      <w:r>
        <w:t xml:space="preserve">Trade and other receivables are basic financial assets measured at amortised cost less any impairment. The analysis of receivables is set out below.</w:t>
      </w:r>
    </w:p>
    <w:p>
      <w:pPr>
        <w:pStyle w:val="Heading2"/>
        <w:spacing w:after="120"/>
      </w:pPr>
      <w:bookmarkStart w:id="5" w:name="note_6"/>
      <w:r>
        <w:rPr>
          <w:b/>
          <w:sz w:val="20"/>
          <w:szCs w:val="20"/>
        </w:rPr>
        <w:t xml:space="preserve">6. Share capital and equity</w:t>
      </w:r>
      <w:bookmarkEnd w:id="5"/>
    </w:p>
    <w:p>
      <w:pPr>
        <w:spacing w:after="120"/>
      </w:pPr>
      <w:r>
        <w:t xml:space="preserve">The authorised and issued share capital of the entity, including any shares issued or redeemed during the period and rights, preferences and restrictions, are set out below. For entities without share capital, information equivalent to that required for share capital is presented for each category of equity.</w:t>
      </w:r>
    </w:p>
    <w:p>
      <w:pPr>
        <w:pStyle w:val="Heading2"/>
        <w:spacing w:after="120"/>
      </w:pPr>
      <w:bookmarkStart w:id="6" w:name="note_7"/>
      <w:r>
        <w:rPr>
          <w:b/>
          <w:sz w:val="20"/>
          <w:szCs w:val="20"/>
        </w:rPr>
        <w:t xml:space="preserve">7. Borrowings</w:t>
      </w:r>
      <w:bookmarkEnd w:id="6"/>
    </w:p>
    <w:p>
      <w:pPr>
        <w:spacing w:after="120"/>
      </w:pPr>
      <w:r>
        <w:t xml:space="preserve">Borrowings are basic financial liabilities measured at amortised cost using the effective interest method. The analysis of borrowings, including the current and non-current portions, is set out below. Where there has been a breach of loan covenants that has not been remedied at the reporting date, the particulars of the breach are disclosed.</w:t>
      </w:r>
    </w:p>
    <w:p>
      <w:pPr>
        <w:pStyle w:val="Heading2"/>
        <w:spacing w:after="120"/>
      </w:pPr>
      <w:bookmarkStart w:id="7" w:name="note_8"/>
      <w:r>
        <w:rPr>
          <w:b/>
          <w:sz w:val="20"/>
          <w:szCs w:val="20"/>
        </w:rPr>
        <w:t xml:space="preserve">8. Trade and other payables</w:t>
      </w:r>
      <w:bookmarkEnd w:id="7"/>
    </w:p>
    <w:p>
      <w:pPr>
        <w:spacing w:after="120"/>
      </w:pPr>
      <w:r>
        <w:t xml:space="preserve">Trade and other payables are basic financial liabilities measured at amortised cost. The analysis by class is set out below.</w:t>
      </w:r>
    </w:p>
    <w:p>
      <w:pPr>
        <w:pStyle w:val="Heading2"/>
        <w:spacing w:after="120"/>
      </w:pPr>
      <w:bookmarkStart w:id="8" w:name="note_9"/>
      <w:r>
        <w:rPr>
          <w:b/>
          <w:sz w:val="20"/>
          <w:szCs w:val="20"/>
        </w:rPr>
        <w:t xml:space="preserve">9. Financial instruments</w:t>
      </w:r>
      <w:bookmarkEnd w:id="8"/>
    </w:p>
    <w:p>
      <w:pPr>
        <w:spacing w:after="120"/>
      </w:pPr>
      <w:r>
        <w:t xml:space="preserve">Financial instruments are classified as basic financial instruments within Section 11 or as other financial instruments within Section 12. Basic debt instruments are measured at amortised cost using the effective interest method, less impairment. Other financial instruments are measured at fair value through profit or loss, except where Section 12 requires or permits cost less impairment.</w:t>
      </w:r>
    </w:p>
    <w:p>
      <w:pPr>
        <w:spacing w:after="120"/>
      </w:pPr>
      <w:r>
        <w:t xml:space="preserve">The carrying amounts of financial assets and financial liabilities by category are set out below.</w:t>
      </w:r>
    </w:p>
    <w:p>
      <w:pPr>
        <w:pStyle w:val="Heading2"/>
        <w:spacing w:after="120"/>
      </w:pPr>
      <w:bookmarkStart w:id="9" w:name="note_10"/>
      <w:r>
        <w:rPr>
          <w:b/>
          <w:sz w:val="20"/>
          <w:szCs w:val="20"/>
        </w:rPr>
        <w:t xml:space="preserve">10. Revenue</w:t>
      </w:r>
      <w:bookmarkEnd w:id="9"/>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pStyle w:val="Heading2"/>
        <w:spacing w:after="120"/>
      </w:pPr>
      <w:bookmarkStart w:id="10" w:name="note_11"/>
      <w:r>
        <w:rPr>
          <w:b/>
          <w:sz w:val="20"/>
          <w:szCs w:val="20"/>
        </w:rPr>
        <w:t xml:space="preserve">11. Income tax</w:t>
      </w:r>
      <w:bookmarkEnd w:id="10"/>
    </w:p>
    <w:p>
      <w:pPr>
        <w:spacing w:after="120"/>
      </w:pPr>
      <w:r>
        <w:t xml:space="preserve">The income tax expense comprises current and deferred tax. A reconciliation between the tax expense and the product of accounting profit multiplied by the applicable tax rate is set out below, together with an explanation of changes in the applicable rate where relevant.</w:t>
      </w:r>
    </w:p>
    <w:p>
      <w:pPr>
        <w:pStyle w:val="Heading2"/>
        <w:spacing w:after="120"/>
      </w:pPr>
      <w:bookmarkStart w:id="11" w:name="note_12"/>
      <w:r>
        <w:rPr>
          <w:b/>
          <w:sz w:val="20"/>
          <w:szCs w:val="20"/>
        </w:rPr>
        <w:t xml:space="preserve">12. Notes to the statement of cash flows</w:t>
      </w:r>
      <w:bookmarkEnd w:id="11"/>
    </w:p>
    <w:p>
      <w:pPr>
        <w:spacing w:after="120"/>
      </w:pPr>
      <w:r>
        <w:t xml:space="preserve">Cash and cash equivalents comprise cash on hand and demand deposits, and other short-term highly liquid investments readily convertible to known amounts of cash. The reconciliation of profit or loss to cash generated from operations, and the major classes of cash flows, are set out below.</w:t>
      </w:r>
    </w:p>
    <w:p>
      <w:pPr>
        <w:pStyle w:val="Heading2"/>
        <w:spacing w:after="120"/>
      </w:pPr>
      <w:bookmarkStart w:id="12" w:name="note_13"/>
      <w:r>
        <w:rPr>
          <w:b/>
          <w:sz w:val="20"/>
          <w:szCs w:val="20"/>
        </w:rPr>
        <w:t xml:space="preserve">13. Events after the end of the reporting period</w:t>
      </w:r>
      <w:bookmarkEnd w:id="12"/>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C8C8"/>
      </w:pBdr>
    </w:pPr>
    <w:r>
      <w:rPr>
        <w:sz w:val="16"/>
      </w:rPr>
      <w:fldChar w:fldCharType="begin"/>
    </w:r>
    <w:r>
      <w:instrText xml:space="preserve"> PAGE </w:instrText>
    </w:r>
    <w:r>
      <w:fldChar w:fldCharType="end"/>
    </w:r>
  </w:p>
</w:ftr>
</file>

<file path=word/header1.xml><?xml version="1.0" encoding="utf-8"?>
<w:hdr xmlns:w="http://schemas.openxmlformats.org/wordprocessingml/2006/main">
  <w:p>
    <w:pPr>
      <w:pBdr>
        <w:bottom w:val="single" w:sz="4" w:space="1" w:color="9A9A9A"/>
      </w:pBdr>
    </w:pPr>
    <w:r>
      <w:rPr>
        <w:b/>
        <w:sz w:val="18"/>
        <w:szCs w:val="18"/>
      </w:rPr>
      <w:t xml:space="preserve">AdminLess Composition Demo (Pty) Ltd</w:t>
    </w:r>
    <w:r>
      <w:br/>
    </w:r>
    <w:r>
      <w:rPr>
        <w:color w:val="595959"/>
        <w:sz w:val="16"/>
        <w:szCs w:val="16"/>
      </w:rPr>
      <w:t xml:space="preserve">(Registration number: 2019/440440/07)</w:t>
    </w:r>
    <w:r>
      <w:br/>
    </w:r>
    <w:r>
      <w:rPr>
        <w:color w:val="595959"/>
        <w:sz w:val="16"/>
        <w:szCs w:val="16"/>
      </w:rPr>
      <w:t xml:space="preserve">Annual Financial Statements for the year ended 31 March 2026</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