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jc w:val="center"/>
        <w:spacing w:after="80"/>
      </w:pPr>
      <w:r>
        <w:rPr>
          <w:b/>
          <w:sz w:val="32"/>
          <w:szCs w:val="32"/>
        </w:rPr>
        <w:t xml:space="preserve">ADMINLESS COMPOSITION DEMO (PTY) LTD</w:t>
      </w:r>
    </w:p>
    <w:p>
      <w:pPr>
        <w:jc w:val="center"/>
        <w:spacing w:after="40"/>
      </w:pPr>
      <w:r>
        <w:t xml:space="preserve">(Registration number 2019/440440/07)</w:t>
      </w:r>
    </w:p>
    <w:p>
      <w:pPr>
        <w:jc w:val="center"/>
        <w:spacing w:after="40"/>
      </w:pPr>
      <w:r>
        <w:rPr>
          <w:color w:val="595959"/>
        </w:rPr>
        <w:t xml:space="preserve">Trading as Composition Demo</w:t>
      </w:r>
    </w:p>
    <w:p>
      <w:pPr>
        <w:jc w:val="center"/>
        <w:spacing w:after="40"/>
      </w:pPr>
      <w:r>
        <w:rPr>
          <w:b/>
          <w:sz w:val="26"/>
          <w:szCs w:val="26"/>
        </w:rPr>
        <w:t xml:space="preserve">ANNUAL FINANCIAL STATEMENTS</w:t>
      </w:r>
    </w:p>
    <w:p>
      <w:pPr>
        <w:jc w:val="center"/>
        <w:spacing w:after="200"/>
      </w:pPr>
      <w:r>
        <w:t xml:space="preserve">FOR THE YEAR ENDED 31 MARCH 2026</w:t>
      </w:r>
    </w:p>
    <w:p>
      <w:pPr>
        <w:jc w:val="center"/>
        <w:spacing w:after="20"/>
      </w:pPr>
      <w:r>
        <w:rPr>
          <w:sz w:val="18"/>
          <w:szCs w:val="18"/>
        </w:rPr>
        <w:t xml:space="preserve">National Assurance Inc.</w:t>
      </w:r>
    </w:p>
    <w:p>
      <w:pPr>
        <w:jc w:val="center"/>
        <w:spacing w:after="20"/>
      </w:pPr>
      <w:r>
        <w:rPr>
          <w:sz w:val="18"/>
          <w:szCs w:val="18"/>
        </w:rPr>
        <w:t xml:space="preserve">Registered Auditors</w:t>
      </w:r>
    </w:p>
    <w:p>
      <w:pPr>
        <w:pStyle w:val="Heading1"/>
        <w:spacing w:after="120"/>
      </w:pPr>
      <w:r>
        <w:rPr>
          <w:b/>
          <w:sz w:val="26"/>
          <w:szCs w:val="26"/>
        </w:rPr>
        <w:t xml:space="preserve">General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Country of incorporation and domicile</w:t>
            </w:r>
          </w:p>
        </w:tc>
        <w:tc>
          <w:tcPr>
            <w:tcW w:w="1500" w:type="dxa"/>
            <w:shd w:val="clear" w:color="auto" w:fill="F2F2F2"/>
          </w:tcPr>
          <w:p>
            <w:pPr>
              <w:jc w:val="right"/>
              <w:spacing w:after="20"/>
            </w:pPr>
            <w:r>
              <w:rPr>
                <w:b/>
                <w:sz w:val="18"/>
                <w:szCs w:val="18"/>
              </w:rPr>
              <w:t xml:space="preserve">South Africa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Nature of business and principal activities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Auditors</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These annual financial statements have been audited in compliance with the applicable requirements of the Companies Act of South Africa.</w:t>
            </w:r>
          </w:p>
        </w:tc>
      </w:tr>
    </w:tbl>
    <w:p>
      <w:pPr>
        <w:spacing w:after="40"/>
      </w:pPr>
      <w:r>
        <w:t xml:space="preserve"/>
      </w:r>
    </w:p>
    <w:p>
      <w:pPr>
        <w:pStyle w:val="Heading1"/>
        <w:spacing w:after="120"/>
      </w:pPr>
      <w:r>
        <w:rPr>
          <w:b/>
          <w:sz w:val="26"/>
          <w:szCs w:val="26"/>
        </w:rPr>
        <w:t xml:space="preserve">Index</w:t>
      </w:r>
    </w:p>
    <w:p>
      <w:pPr>
        <w:spacing w:after="120"/>
      </w:pPr>
      <w:r>
        <w:t xml:space="preserve">The reports and statements set out below comprise the annual financial statements presented to the shareholders: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Statement of Financial Position</w:t>
      </w:r>
    </w:p>
    <w:p>
      <w:pPr>
        <w:spacing w:after="40"/>
      </w:pPr>
      <w:r>
        <w:t xml:space="preserve">Statement of Comprehensive Income</w:t>
      </w:r>
    </w:p>
    <w:p>
      <w:pPr>
        <w:spacing w:after="40"/>
      </w:pPr>
      <w:r>
        <w:t xml:space="preserve">Statement of Changes in Equity</w:t>
      </w:r>
    </w:p>
    <w:p>
      <w:pPr>
        <w:spacing w:after="40"/>
      </w:pPr>
      <w:r>
        <w:t xml:space="preserve">Statement of Cash Flows</w:t>
      </w:r>
    </w:p>
    <w:p>
      <w:pPr>
        <w:spacing w:after="40"/>
      </w:pPr>
      <w:r>
        <w:t xml:space="preserve">Accounting Policies</w:t>
      </w:r>
    </w:p>
    <w:p>
      <w:pPr>
        <w:spacing w:after="40"/>
      </w:pPr>
      <w:r>
        <w:t xml:space="preserve">Notes to the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on 30 September 2026 and were signed on their behalf by:</w:t>
      </w:r>
    </w:p>
    <w:p>
      <w:pPr>
        <w:spacing w:after="20"/>
      </w:pPr>
      <w:r>
        <w:t xml:space="preserve">______________________________</w:t>
      </w:r>
    </w:p>
    <w:p>
      <w:pPr>
        <w:spacing w:after="10"/>
      </w:pPr>
      <w:r>
        <w:t xml:space="preserve">S. Chairperson</w:t>
      </w:r>
    </w:p>
    <w:p>
      <w:pPr>
        <w:spacing w:after="120"/>
      </w:pPr>
      <w:r>
        <w:rPr>
          <w:color w:val="595959"/>
        </w:rPr>
        <w:t xml:space="preserve">Director</w:t>
      </w:r>
    </w:p>
    <w:p>
      <w:pPr>
        <w:spacing w:after="20"/>
      </w:pPr>
      <w:r>
        <w:t xml:space="preserve">______________________________</w:t>
      </w:r>
    </w:p>
    <w:p>
      <w:pPr>
        <w:spacing w:after="10"/>
      </w:pPr>
      <w:r>
        <w:t xml:space="preserve">M. Finance Director</w:t>
      </w:r>
    </w:p>
    <w:p>
      <w:pPr>
        <w:spacing w:after="120"/>
      </w:pPr>
      <w:r>
        <w:rPr>
          <w:color w:val="595959"/>
        </w:rPr>
        <w:t xml:space="preserve">Director</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 and operates principally in South Africa. There have been no material changes to the nature of the company's business from the prior year.</w:t>
      </w:r>
    </w:p>
    <w:p>
      <w:pPr>
        <w:spacing w:after="40"/>
      </w:pPr>
      <w:r>
        <w:rPr>
          <w:b/>
          <w:sz w:val="20"/>
          <w:szCs w:val="20"/>
        </w:rPr>
        <w:t xml:space="preserve">2. Directors</w:t>
      </w:r>
    </w:p>
    <w:p>
      <w:pPr>
        <w:spacing w:after="120"/>
      </w:pPr>
      <w:r>
        <w:t xml:space="preserve">The directors in office at the date of this report are S. Chairperson and M. Finance Director. There have been no changes to the directorate for the year under review.</w:t>
      </w:r>
    </w:p>
    <w:p>
      <w:pPr>
        <w:spacing w:after="40"/>
      </w:pPr>
      <w:r>
        <w:rPr>
          <w:b/>
          <w:sz w:val="20"/>
          <w:szCs w:val="20"/>
        </w:rPr>
        <w:t xml:space="preserve">3. Events after the reporting period</w:t>
      </w:r>
    </w:p>
    <w:p>
      <w:pPr>
        <w:spacing w:after="120"/>
      </w:pPr>
      <w:r>
        <w:t xml:space="preserve">The directors are not aware of any material event which occurred after the reporting date and up to the date of this report.</w:t>
      </w:r>
    </w:p>
    <w:p>
      <w:pPr>
        <w:spacing w:after="40"/>
      </w:pPr>
      <w:r>
        <w:rPr>
          <w:b/>
          <w:sz w:val="20"/>
          <w:szCs w:val="20"/>
        </w:rPr>
        <w:t xml:space="preserve">4.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5.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6. Auditors</w:t>
      </w:r>
    </w:p>
    <w:p>
      <w:pPr>
        <w:spacing w:after="120"/>
      </w:pPr>
      <w:r>
        <w:t xml:space="preserve">National Assurance Inc. will continue in office as auditors of the company.</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is inserted here when issued upon completion of the audit engagement.</w:t>
      </w:r>
    </w:p>
    <w:p>
      <w:pPr>
        <w:pStyle w:val="Heading1"/>
        <w:spacing w:after="120"/>
      </w:pPr>
      <w:r>
        <w:rPr>
          <w:b/>
          <w:sz w:val="24"/>
          <w:szCs w:val="24"/>
        </w:rPr>
        <w:t xml:space="preserve">Statement of Financial Position</w:t>
      </w:r>
    </w:p>
    <w:p>
      <w:pPr>
        <w:spacing w:after="60"/>
      </w:pPr>
      <w:r>
        <w:rPr>
          <w:i/>
          <w:color w:val="595959"/>
        </w:rPr>
        <w:t xml:space="preserve">As at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Property, plant and equipment</w:t>
            </w:r>
          </w:p>
        </w:tc>
        <w:tc>
          <w:tcPr>
            <w:tcW w:w="800" w:type="dxa"/>
          </w:tcPr>
          <w:p>
            <w:pPr>
              <w:jc w:val="center"/>
              <w:spacing w:after="20"/>
            </w:pPr>
            <w:hyperlink w:anchor="note_3" w:history="1">
              <w:r>
                <w:rPr>
                  <w:color w:val="1F4E3D"/>
                  <w:sz w:val="18"/>
                  <w:szCs w:val="18"/>
                </w:rPr>
                <w:t xml:space="preserve">3</w:t>
              </w:r>
            </w:hyperlink>
          </w:p>
        </w:tc>
        <w:tc>
          <w:tcPr>
            <w:tcW w:w="1500" w:type="dxa"/>
          </w:tcPr>
          <w:p>
            <w:pPr>
              <w:jc w:val="right"/>
              <w:spacing w:after="20"/>
            </w:pPr>
            <w:r>
              <w:rPr>
                <w:sz w:val="18"/>
                <w:szCs w:val="18"/>
              </w:rPr>
              <w:t xml:space="preserve">8 500 000</w:t>
            </w:r>
          </w:p>
        </w:tc>
      </w:tr>
      <w:tr>
        <w:tc>
          <w:tcPr>
            <w:tcW w:w="6626" w:type="dxa"/>
          </w:tcPr>
          <w:p>
            <w:pPr>
              <w:spacing w:after="20"/>
            </w:pPr>
            <w:r>
              <w:rPr>
                <w:sz w:val="18"/>
                <w:szCs w:val="18"/>
              </w:rPr>
              <w:t xml:space="preserve">Inventories</w:t>
            </w:r>
          </w:p>
        </w:tc>
        <w:tc>
          <w:tcPr>
            <w:tcW w:w="800" w:type="dxa"/>
          </w:tcPr>
          <w:p>
            <w:pPr>
              <w:jc w:val="center"/>
              <w:spacing w:after="20"/>
            </w:pPr>
            <w:hyperlink w:anchor="note_4" w:history="1">
              <w:r>
                <w:rPr>
                  <w:color w:val="1F4E3D"/>
                  <w:sz w:val="18"/>
                  <w:szCs w:val="18"/>
                </w:rPr>
                <w:t xml:space="preserve">4</w:t>
              </w:r>
            </w:hyperlink>
          </w:p>
        </w:tc>
        <w:tc>
          <w:tcPr>
            <w:tcW w:w="1500" w:type="dxa"/>
          </w:tcPr>
          <w:p>
            <w:pPr>
              <w:jc w:val="right"/>
              <w:spacing w:after="20"/>
            </w:pPr>
            <w:r>
              <w:rPr>
                <w:sz w:val="18"/>
                <w:szCs w:val="18"/>
              </w:rPr>
              <w:t xml:space="preserve">2 100 000</w:t>
            </w:r>
          </w:p>
        </w:tc>
      </w:tr>
      <w:tr>
        <w:tc>
          <w:tcPr>
            <w:tcW w:w="6626" w:type="dxa"/>
          </w:tcPr>
          <w:p>
            <w:pPr>
              <w:spacing w:after="20"/>
            </w:pPr>
            <w:r>
              <w:rPr>
                <w:sz w:val="18"/>
                <w:szCs w:val="18"/>
              </w:rPr>
              <w:t xml:space="preserve">Trade and other receivables</w:t>
            </w:r>
          </w:p>
        </w:tc>
        <w:tc>
          <w:tcPr>
            <w:tcW w:w="800" w:type="dxa"/>
          </w:tcPr>
          <w:p>
            <w:pPr>
              <w:jc w:val="center"/>
              <w:spacing w:after="20"/>
            </w:pPr>
            <w:hyperlink w:anchor="note_5" w:history="1">
              <w:r>
                <w:rPr>
                  <w:color w:val="1F4E3D"/>
                  <w:sz w:val="18"/>
                  <w:szCs w:val="18"/>
                </w:rPr>
                <w:t xml:space="preserve">5</w:t>
              </w:r>
            </w:hyperlink>
          </w:p>
        </w:tc>
        <w:tc>
          <w:tcPr>
            <w:tcW w:w="1500" w:type="dxa"/>
          </w:tcPr>
          <w:p>
            <w:pPr>
              <w:jc w:val="right"/>
              <w:spacing w:after="20"/>
            </w:pPr>
            <w:r>
              <w:rPr>
                <w:sz w:val="18"/>
                <w:szCs w:val="18"/>
              </w:rPr>
              <w:t xml:space="preserve">1 650 000</w:t>
            </w:r>
          </w:p>
        </w:tc>
      </w:tr>
      <w:tr>
        <w:tc>
          <w:tcPr>
            <w:tcW w:w="6626" w:type="dxa"/>
          </w:tcPr>
          <w:p>
            <w:pPr>
              <w:spacing w:after="20"/>
            </w:pPr>
            <w:r>
              <w:rPr>
                <w:sz w:val="18"/>
                <w:szCs w:val="18"/>
              </w:rPr>
              <w:t xml:space="preserve">Cash and cash equivalents</w:t>
            </w:r>
          </w:p>
        </w:tc>
        <w:tc>
          <w:tcPr>
            <w:tcW w:w="800" w:type="dxa"/>
          </w:tcPr>
          <w:p>
            <w:pPr>
              <w:jc w:val="center"/>
              <w:spacing w:after="20"/>
            </w:pPr>
            <w:hyperlink w:anchor="note_12" w:history="1">
              <w:r>
                <w:rPr>
                  <w:color w:val="1F4E3D"/>
                  <w:sz w:val="18"/>
                  <w:szCs w:val="18"/>
                </w:rPr>
                <w:t xml:space="preserve">12</w:t>
              </w:r>
            </w:hyperlink>
          </w:p>
        </w:tc>
        <w:tc>
          <w:tcPr>
            <w:tcW w:w="1500" w:type="dxa"/>
          </w:tcPr>
          <w:p>
            <w:pPr>
              <w:jc w:val="right"/>
              <w:spacing w:after="20"/>
            </w:pPr>
            <w:r>
              <w:rPr>
                <w:sz w:val="18"/>
                <w:szCs w:val="18"/>
              </w:rPr>
              <w:t xml:space="preserve">980 000</w:t>
            </w:r>
          </w:p>
        </w:tc>
      </w:tr>
      <w:tr>
        <w:tc>
          <w:tcPr>
            <w:tcW w:w="6626" w:type="dxa"/>
          </w:tcPr>
          <w:p>
            <w:pPr>
              <w:spacing w:after="20"/>
            </w:pPr>
            <w:r>
              <w:rPr>
                <w:b/>
                <w:sz w:val="18"/>
                <w:szCs w:val="18"/>
              </w:rPr>
              <w:t xml:space="preserve">Total assets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13 230 000</w:t>
            </w:r>
          </w:p>
        </w:tc>
      </w:tr>
      <w:tr>
        <w:tc>
          <w:tcPr>
            <w:tcW w:w="6626" w:type="dxa"/>
          </w:tcPr>
          <w:p>
            <w:pPr>
              <w:spacing w:after="20"/>
            </w:pPr>
            <w:r>
              <w:rPr>
                <w:sz w:val="18"/>
                <w:szCs w:val="18"/>
              </w:rPr>
              <w:t xml:space="preserve">Share capital</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1 000 000</w:t>
            </w:r>
          </w:p>
        </w:tc>
      </w:tr>
      <w:tr>
        <w:tc>
          <w:tcPr>
            <w:tcW w:w="6626" w:type="dxa"/>
          </w:tcPr>
          <w:p>
            <w:pPr>
              <w:spacing w:after="20"/>
            </w:pPr>
            <w:r>
              <w:rPr>
                <w:sz w:val="18"/>
                <w:szCs w:val="18"/>
              </w:rPr>
              <w:t xml:space="preserve">Retained earnings</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8 230 000</w:t>
            </w:r>
          </w:p>
        </w:tc>
      </w:tr>
      <w:tr>
        <w:tc>
          <w:tcPr>
            <w:tcW w:w="6626" w:type="dxa"/>
          </w:tcPr>
          <w:p>
            <w:pPr>
              <w:spacing w:after="20"/>
            </w:pPr>
            <w:r>
              <w:rPr>
                <w:sz w:val="18"/>
                <w:szCs w:val="18"/>
              </w:rPr>
              <w:t xml:space="preserve">Trade and other payables</w:t>
            </w:r>
          </w:p>
        </w:tc>
        <w:tc>
          <w:tcPr>
            <w:tcW w:w="800" w:type="dxa"/>
          </w:tcPr>
          <w:p>
            <w:pPr>
              <w:jc w:val="center"/>
              <w:spacing w:after="20"/>
            </w:pPr>
            <w:hyperlink w:anchor="note_8" w:history="1">
              <w:r>
                <w:rPr>
                  <w:color w:val="1F4E3D"/>
                  <w:sz w:val="18"/>
                  <w:szCs w:val="18"/>
                </w:rPr>
                <w:t xml:space="preserve">8</w:t>
              </w:r>
            </w:hyperlink>
          </w:p>
        </w:tc>
        <w:tc>
          <w:tcPr>
            <w:tcW w:w="1500" w:type="dxa"/>
          </w:tcPr>
          <w:p>
            <w:pPr>
              <w:jc w:val="right"/>
              <w:spacing w:after="20"/>
            </w:pPr>
            <w:r>
              <w:rPr>
                <w:sz w:val="18"/>
                <w:szCs w:val="18"/>
              </w:rPr>
              <w:t xml:space="preserve">1 900 000</w:t>
            </w:r>
          </w:p>
        </w:tc>
      </w:tr>
      <w:tr>
        <w:tc>
          <w:tcPr>
            <w:tcW w:w="6626" w:type="dxa"/>
          </w:tcPr>
          <w:p>
            <w:pPr>
              <w:spacing w:after="20"/>
            </w:pPr>
            <w:r>
              <w:rPr>
                <w:sz w:val="18"/>
                <w:szCs w:val="18"/>
              </w:rPr>
              <w:t xml:space="preserve">Borrowings</w:t>
            </w:r>
          </w:p>
        </w:tc>
        <w:tc>
          <w:tcPr>
            <w:tcW w:w="800" w:type="dxa"/>
          </w:tcPr>
          <w:p>
            <w:pPr>
              <w:jc w:val="center"/>
              <w:spacing w:after="20"/>
            </w:pPr>
            <w:hyperlink w:anchor="note_7" w:history="1">
              <w:r>
                <w:rPr>
                  <w:color w:val="1F4E3D"/>
                  <w:sz w:val="18"/>
                  <w:szCs w:val="18"/>
                </w:rPr>
                <w:t xml:space="preserve">7</w:t>
              </w:r>
            </w:hyperlink>
          </w:p>
        </w:tc>
        <w:tc>
          <w:tcPr>
            <w:tcW w:w="1500" w:type="dxa"/>
          </w:tcPr>
          <w:p>
            <w:pPr>
              <w:jc w:val="right"/>
              <w:spacing w:after="20"/>
            </w:pPr>
            <w:r>
              <w:rPr>
                <w:sz w:val="18"/>
                <w:szCs w:val="18"/>
              </w:rPr>
              <w:t xml:space="preserve">2 100 000</w:t>
            </w:r>
          </w:p>
        </w:tc>
      </w:tr>
      <w:tr>
        <w:tc>
          <w:tcPr>
            <w:tcW w:w="6626" w:type="dxa"/>
          </w:tcPr>
          <w:p>
            <w:pPr>
              <w:spacing w:after="20"/>
            </w:pPr>
            <w:r>
              <w:rPr>
                <w:b/>
                <w:sz w:val="18"/>
                <w:szCs w:val="18"/>
              </w:rPr>
              <w:t xml:space="preserve">Total equity and liabilities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13 230 000</w:t>
            </w:r>
          </w:p>
        </w:tc>
      </w:tr>
    </w:tbl>
    <w:p>
      <w:pPr>
        <w:spacing w:after="60"/>
      </w:pPr>
      <w:r>
        <w:t xml:space="preserve"/>
      </w:r>
    </w:p>
    <w:p>
      <w:pPr>
        <w:pStyle w:val="Heading1"/>
        <w:spacing w:after="120"/>
      </w:pPr>
      <w:r>
        <w:rPr>
          <w:b/>
          <w:sz w:val="24"/>
          <w:szCs w:val="24"/>
        </w:rPr>
        <w:t xml:space="preserve">Statement of Comprehensive Income</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Revenue</w:t>
            </w:r>
          </w:p>
        </w:tc>
        <w:tc>
          <w:tcPr>
            <w:tcW w:w="800" w:type="dxa"/>
          </w:tcPr>
          <w:p>
            <w:pPr>
              <w:jc w:val="center"/>
              <w:spacing w:after="20"/>
            </w:pPr>
            <w:hyperlink w:anchor="note_10" w:history="1">
              <w:r>
                <w:rPr>
                  <w:color w:val="1F4E3D"/>
                  <w:sz w:val="18"/>
                  <w:szCs w:val="18"/>
                </w:rPr>
                <w:t xml:space="preserve">10</w:t>
              </w:r>
            </w:hyperlink>
          </w:p>
        </w:tc>
        <w:tc>
          <w:tcPr>
            <w:tcW w:w="1500" w:type="dxa"/>
          </w:tcPr>
          <w:p>
            <w:pPr>
              <w:jc w:val="right"/>
              <w:spacing w:after="20"/>
            </w:pPr>
            <w:r>
              <w:rPr>
                <w:sz w:val="18"/>
                <w:szCs w:val="18"/>
              </w:rPr>
              <w:t xml:space="preserve">18 500 000</w:t>
            </w:r>
          </w:p>
        </w:tc>
      </w:tr>
      <w:tr>
        <w:tc>
          <w:tcPr>
            <w:tcW w:w="6626" w:type="dxa"/>
          </w:tcPr>
          <w:p>
            <w:pPr>
              <w:spacing w:after="20"/>
            </w:pPr>
            <w:r>
              <w:rPr>
                <w:b/>
                <w:sz w:val="18"/>
                <w:szCs w:val="18"/>
              </w:rPr>
              <w:t xml:space="preserve">Expenses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(14 200 000)</w:t>
            </w:r>
          </w:p>
        </w:tc>
      </w:tr>
      <w:tr>
        <w:tc>
          <w:tcPr>
            <w:tcW w:w="6626" w:type="dxa"/>
          </w:tcPr>
          <w:p>
            <w:pPr>
              <w:spacing w:after="20"/>
            </w:pPr>
            <w:r>
              <w:rPr>
                <w:sz w:val="18"/>
                <w:szCs w:val="18"/>
              </w:rPr>
              <w:t xml:space="preserve">Finance costs</w:t>
            </w:r>
          </w:p>
        </w:tc>
        <w:tc>
          <w:tcPr>
            <w:tcW w:w="800" w:type="dxa"/>
          </w:tcPr>
          <w:p>
            <w:pPr>
              <w:jc w:val="center"/>
              <w:spacing w:after="20"/>
            </w:pPr>
            <w:hyperlink w:anchor="note_7" w:history="1">
              <w:r>
                <w:rPr>
                  <w:color w:val="1F4E3D"/>
                  <w:sz w:val="18"/>
                  <w:szCs w:val="18"/>
                </w:rPr>
                <w:t xml:space="preserve">7</w:t>
              </w:r>
            </w:hyperlink>
          </w:p>
        </w:tc>
        <w:tc>
          <w:tcPr>
            <w:tcW w:w="1500" w:type="dxa"/>
          </w:tcPr>
          <w:p>
            <w:pPr>
              <w:jc w:val="right"/>
              <w:spacing w:after="20"/>
            </w:pPr>
            <w:r>
              <w:rPr>
                <w:sz w:val="18"/>
                <w:szCs w:val="18"/>
              </w:rPr>
              <w:t xml:space="preserve">420 000</w:t>
            </w:r>
          </w:p>
        </w:tc>
      </w:tr>
      <w:tr>
        <w:tc>
          <w:tcPr>
            <w:tcW w:w="6626" w:type="dxa"/>
          </w:tcPr>
          <w:p>
            <w:pPr>
              <w:spacing w:after="20"/>
            </w:pPr>
            <w:r>
              <w:rPr>
                <w:sz w:val="18"/>
                <w:szCs w:val="18"/>
              </w:rPr>
              <w:t xml:space="preserve">Tax expense</w:t>
            </w:r>
          </w:p>
        </w:tc>
        <w:tc>
          <w:tcPr>
            <w:tcW w:w="800" w:type="dxa"/>
          </w:tcPr>
          <w:p>
            <w:pPr>
              <w:jc w:val="center"/>
              <w:spacing w:after="20"/>
            </w:pPr>
            <w:hyperlink w:anchor="note_11" w:history="1">
              <w:r>
                <w:rPr>
                  <w:color w:val="1F4E3D"/>
                  <w:sz w:val="18"/>
                  <w:szCs w:val="18"/>
                </w:rPr>
                <w:t xml:space="preserve">11</w:t>
              </w:r>
            </w:hyperlink>
          </w:p>
        </w:tc>
        <w:tc>
          <w:tcPr>
            <w:tcW w:w="1500" w:type="dxa"/>
          </w:tcPr>
          <w:p>
            <w:pPr>
              <w:jc w:val="right"/>
              <w:spacing w:after="20"/>
            </w:pPr>
            <w:r>
              <w:rPr>
                <w:sz w:val="18"/>
                <w:szCs w:val="18"/>
              </w:rPr>
              <w:t xml:space="preserve">972 500</w:t>
            </w:r>
          </w:p>
        </w:tc>
      </w:tr>
      <w:tr>
        <w:tc>
          <w:tcPr>
            <w:tcW w:w="6626" w:type="dxa"/>
          </w:tcPr>
          <w:p>
            <w:pPr>
              <w:spacing w:after="20"/>
            </w:pPr>
            <w:r>
              <w:rPr>
                <w:b/>
                <w:sz w:val="18"/>
                <w:szCs w:val="18"/>
              </w:rPr>
              <w:t xml:space="preserve">Profit before tax</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3 880 000</w:t>
            </w:r>
          </w:p>
        </w:tc>
      </w:tr>
    </w:tbl>
    <w:p>
      <w:pPr>
        <w:spacing w:after="60"/>
      </w:pPr>
      <w:r>
        <w:t xml:space="preserve"/>
      </w:r>
    </w:p>
    <w:p>
      <w:pPr>
        <w:pStyle w:val="Heading1"/>
        <w:spacing w:after="120"/>
      </w:pPr>
      <w:r>
        <w:rPr>
          <w:b/>
          <w:sz w:val="24"/>
          <w:szCs w:val="24"/>
        </w:rPr>
        <w:t xml:space="preserve">Statement of Changes in Equity</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Opening equity</w:t>
            </w:r>
          </w:p>
        </w:tc>
        <w:tc>
          <w:tcPr>
            <w:tcW w:w="800" w:type="dxa"/>
          </w:tcPr>
          <w:p>
            <w:pPr>
              <w:jc w:val="center"/>
              <w:spacing w:after="20"/>
            </w:pPr>
          </w:p>
        </w:tc>
        <w:tc>
          <w:tcPr>
            <w:tcW w:w="1500" w:type="dxa"/>
          </w:tcPr>
          <w:p>
            <w:pPr>
              <w:jc w:val="right"/>
              <w:spacing w:after="20"/>
            </w:pPr>
            <w:r>
              <w:rPr>
                <w:sz w:val="18"/>
                <w:szCs w:val="18"/>
              </w:rPr>
              <w:t xml:space="preserve">6 322 500</w:t>
            </w:r>
          </w:p>
        </w:tc>
      </w:tr>
      <w:tr>
        <w:tc>
          <w:tcPr>
            <w:tcW w:w="6626" w:type="dxa"/>
          </w:tcPr>
          <w:p>
            <w:pPr>
              <w:spacing w:after="20"/>
            </w:pPr>
            <w:r>
              <w:rPr>
                <w:sz w:val="18"/>
                <w:szCs w:val="18"/>
              </w:rPr>
              <w:t xml:space="preserve">Profit for the period</w:t>
            </w:r>
          </w:p>
        </w:tc>
        <w:tc>
          <w:tcPr>
            <w:tcW w:w="800" w:type="dxa"/>
          </w:tcPr>
          <w:p>
            <w:pPr>
              <w:jc w:val="center"/>
              <w:spacing w:after="20"/>
            </w:pPr>
          </w:p>
        </w:tc>
        <w:tc>
          <w:tcPr>
            <w:tcW w:w="1500" w:type="dxa"/>
          </w:tcPr>
          <w:p>
            <w:pPr>
              <w:jc w:val="right"/>
              <w:spacing w:after="20"/>
            </w:pPr>
            <w:r>
              <w:rPr>
                <w:sz w:val="18"/>
                <w:szCs w:val="18"/>
              </w:rPr>
              <w:t xml:space="preserve">2 907 500</w:t>
            </w:r>
          </w:p>
        </w:tc>
      </w:tr>
      <w:tr>
        <w:tc>
          <w:tcPr>
            <w:tcW w:w="6626" w:type="dxa"/>
          </w:tcPr>
          <w:p>
            <w:pPr>
              <w:spacing w:after="20"/>
            </w:pPr>
            <w:r>
              <w:rPr>
                <w:b/>
                <w:sz w:val="18"/>
                <w:szCs w:val="18"/>
              </w:rPr>
              <w:t xml:space="preserve">Closing equity</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9 230 000</w:t>
            </w:r>
          </w:p>
        </w:tc>
      </w:tr>
    </w:tbl>
    <w:p>
      <w:pPr>
        <w:spacing w:after="60"/>
      </w:pPr>
      <w:r>
        <w:t xml:space="preserve"/>
      </w:r>
    </w:p>
    <w:p>
      <w:pPr>
        <w:pStyle w:val="Heading1"/>
        <w:spacing w:after="120"/>
      </w:pPr>
      <w:r>
        <w:rPr>
          <w:b/>
          <w:sz w:val="24"/>
          <w:szCs w:val="24"/>
        </w:rPr>
        <w:t xml:space="preserve">Statement of Cash Flows</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Net cash from operating activities</w:t>
            </w:r>
          </w:p>
        </w:tc>
        <w:tc>
          <w:tcPr>
            <w:tcW w:w="800" w:type="dxa"/>
          </w:tcPr>
          <w:p>
            <w:pPr>
              <w:jc w:val="center"/>
              <w:spacing w:after="20"/>
            </w:pPr>
          </w:p>
        </w:tc>
        <w:tc>
          <w:tcPr>
            <w:tcW w:w="1500" w:type="dxa"/>
          </w:tcPr>
          <w:p>
            <w:pPr>
              <w:jc w:val="right"/>
              <w:spacing w:after="20"/>
            </w:pPr>
            <w:r>
              <w:rPr>
                <w:sz w:val="18"/>
                <w:szCs w:val="18"/>
              </w:rPr>
              <w:t xml:space="preserve">3 100 000</w:t>
            </w:r>
          </w:p>
        </w:tc>
      </w:tr>
      <w:tr>
        <w:tc>
          <w:tcPr>
            <w:tcW w:w="6626" w:type="dxa"/>
          </w:tcPr>
          <w:p>
            <w:pPr>
              <w:spacing w:after="20"/>
            </w:pPr>
            <w:r>
              <w:rPr>
                <w:sz w:val="18"/>
                <w:szCs w:val="18"/>
              </w:rPr>
              <w:t xml:space="preserve">Net cash from investing activities</w:t>
            </w:r>
          </w:p>
        </w:tc>
        <w:tc>
          <w:tcPr>
            <w:tcW w:w="800" w:type="dxa"/>
          </w:tcPr>
          <w:p>
            <w:pPr>
              <w:jc w:val="center"/>
              <w:spacing w:after="20"/>
            </w:pPr>
          </w:p>
        </w:tc>
        <w:tc>
          <w:tcPr>
            <w:tcW w:w="1500" w:type="dxa"/>
          </w:tcPr>
          <w:p>
            <w:pPr>
              <w:jc w:val="right"/>
              <w:spacing w:after="20"/>
            </w:pPr>
            <w:r>
              <w:rPr>
                <w:sz w:val="18"/>
                <w:szCs w:val="18"/>
              </w:rPr>
              <w:t xml:space="preserve">(1 250 000)</w:t>
            </w:r>
          </w:p>
        </w:tc>
      </w:tr>
      <w:tr>
        <w:tc>
          <w:tcPr>
            <w:tcW w:w="6626" w:type="dxa"/>
          </w:tcPr>
          <w:p>
            <w:pPr>
              <w:spacing w:after="20"/>
            </w:pPr>
            <w:r>
              <w:rPr>
                <w:sz w:val="18"/>
                <w:szCs w:val="18"/>
              </w:rPr>
              <w:t xml:space="preserve">Net cash from financing activities</w:t>
            </w:r>
          </w:p>
        </w:tc>
        <w:tc>
          <w:tcPr>
            <w:tcW w:w="800" w:type="dxa"/>
          </w:tcPr>
          <w:p>
            <w:pPr>
              <w:jc w:val="center"/>
              <w:spacing w:after="20"/>
            </w:pPr>
          </w:p>
        </w:tc>
        <w:tc>
          <w:tcPr>
            <w:tcW w:w="1500" w:type="dxa"/>
          </w:tcPr>
          <w:p>
            <w:pPr>
              <w:jc w:val="right"/>
              <w:spacing w:after="20"/>
            </w:pPr>
            <w:r>
              <w:rPr>
                <w:sz w:val="18"/>
                <w:szCs w:val="18"/>
              </w:rPr>
              <w:t xml:space="preserve">(870 000)</w:t>
            </w:r>
          </w:p>
        </w:tc>
      </w:tr>
    </w:tbl>
    <w:p>
      <w:pPr>
        <w:spacing w:after="60"/>
      </w:pPr>
      <w:r>
        <w:t xml:space="preserve"/>
      </w:r>
    </w:p>
    <w:p>
      <w:pPr>
        <w:pStyle w:val="Heading1"/>
        <w:spacing w:after="120"/>
      </w:pPr>
      <w:r>
        <w:rPr>
          <w:b/>
          <w:sz w:val="26"/>
          <w:szCs w:val="26"/>
        </w:rPr>
        <w:t xml:space="preserve">Accounting Policies</w:t>
      </w:r>
    </w:p>
    <w:p>
      <w:pPr>
        <w:pStyle w:val="Heading2"/>
        <w:spacing w:after="120"/>
      </w:pPr>
      <w:r>
        <w:rPr>
          <w:b/>
          <w:sz w:val="20"/>
          <w:szCs w:val="20"/>
        </w:rPr>
        <w:t xml:space="preserve">1. Basis of preparation and summary of significant accounting policies</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1.1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1.2 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1.3 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1.4 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1.5 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1.6 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1.7 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1.8 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1.9 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1.10 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1.11 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Annual Financial Statements</w:t>
      </w:r>
    </w:p>
    <w:p>
      <w:pPr>
        <w:pStyle w:val="Heading2"/>
        <w:spacing w:after="120"/>
      </w:pPr>
      <w:bookmarkStart w:id="1" w:name="note_2"/>
      <w:r>
        <w:rPr>
          <w:b/>
          <w:sz w:val="20"/>
          <w:szCs w:val="20"/>
        </w:rPr>
        <w:t xml:space="preserve">2. General information</w:t>
      </w:r>
      <w:bookmarkEnd w:id="1"/>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bookmarkStart w:id="2" w:name="note_3"/>
      <w:r>
        <w:rPr>
          <w:b/>
          <w:sz w:val="20"/>
          <w:szCs w:val="20"/>
        </w:rPr>
        <w:t xml:space="preserve">3. Property, plant and equipment</w:t>
      </w:r>
      <w:bookmarkEnd w:id="2"/>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bookmarkStart w:id="3" w:name="note_4"/>
      <w:r>
        <w:rPr>
          <w:b/>
          <w:sz w:val="20"/>
          <w:szCs w:val="20"/>
        </w:rPr>
        <w:t xml:space="preserve">4. Inventories</w:t>
      </w:r>
      <w:bookmarkEnd w:id="3"/>
    </w:p>
    <w:p>
      <w:pPr>
        <w:spacing w:after="120"/>
      </w:pPr>
      <w:r>
        <w:t xml:space="preserve">Inventories are stated at the lower of cost and estimated selling price less costs to complete and sell. The carrying amounts by category and any write-down recognised as an expense are set out below.</w:t>
      </w:r>
    </w:p>
    <w:p>
      <w:pPr>
        <w:pStyle w:val="Heading2"/>
        <w:spacing w:after="120"/>
      </w:pPr>
      <w:bookmarkStart w:id="4" w:name="note_5"/>
      <w:r>
        <w:rPr>
          <w:b/>
          <w:sz w:val="20"/>
          <w:szCs w:val="20"/>
        </w:rPr>
        <w:t xml:space="preserve">5. Trade and other receivables</w:t>
      </w:r>
      <w:bookmarkEnd w:id="4"/>
    </w:p>
    <w:p>
      <w:pPr>
        <w:spacing w:after="120"/>
      </w:pPr>
      <w:r>
        <w:t xml:space="preserve">Trade and other receivables are basic financial assets measured at amortised cost less any impairment. The analysis of receivables is set out below.</w:t>
      </w:r>
    </w:p>
    <w:p>
      <w:pPr>
        <w:pStyle w:val="Heading2"/>
        <w:spacing w:after="120"/>
      </w:pPr>
      <w:bookmarkStart w:id="5" w:name="note_6"/>
      <w:r>
        <w:rPr>
          <w:b/>
          <w:sz w:val="20"/>
          <w:szCs w:val="20"/>
        </w:rPr>
        <w:t xml:space="preserve">6. Share capital and equity</w:t>
      </w:r>
      <w:bookmarkEnd w:id="5"/>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pStyle w:val="Heading2"/>
        <w:spacing w:after="120"/>
      </w:pPr>
      <w:bookmarkStart w:id="6" w:name="note_7"/>
      <w:r>
        <w:rPr>
          <w:b/>
          <w:sz w:val="20"/>
          <w:szCs w:val="20"/>
        </w:rPr>
        <w:t xml:space="preserve">7. Borrowings</w:t>
      </w:r>
      <w:bookmarkEnd w:id="6"/>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pStyle w:val="Heading2"/>
        <w:spacing w:after="120"/>
      </w:pPr>
      <w:bookmarkStart w:id="7" w:name="note_8"/>
      <w:r>
        <w:rPr>
          <w:b/>
          <w:sz w:val="20"/>
          <w:szCs w:val="20"/>
        </w:rPr>
        <w:t xml:space="preserve">8. Trade and other payables</w:t>
      </w:r>
      <w:bookmarkEnd w:id="7"/>
    </w:p>
    <w:p>
      <w:pPr>
        <w:spacing w:after="120"/>
      </w:pPr>
      <w:r>
        <w:t xml:space="preserve">Trade and other payables are basic financial liabilities measured at amortised cost. The analysis by class is set out below.</w:t>
      </w:r>
    </w:p>
    <w:p>
      <w:pPr>
        <w:pStyle w:val="Heading2"/>
        <w:spacing w:after="120"/>
      </w:pPr>
      <w:bookmarkStart w:id="8" w:name="note_9"/>
      <w:r>
        <w:rPr>
          <w:b/>
          <w:sz w:val="20"/>
          <w:szCs w:val="20"/>
        </w:rPr>
        <w:t xml:space="preserve">9. Financial instruments</w:t>
      </w:r>
      <w:bookmarkEnd w:id="8"/>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pStyle w:val="Heading2"/>
        <w:spacing w:after="120"/>
      </w:pPr>
      <w:bookmarkStart w:id="9" w:name="note_10"/>
      <w:r>
        <w:rPr>
          <w:b/>
          <w:sz w:val="20"/>
          <w:szCs w:val="20"/>
        </w:rPr>
        <w:t xml:space="preserve">10. Revenue</w:t>
      </w:r>
      <w:bookmarkEnd w:id="9"/>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pStyle w:val="Heading2"/>
        <w:spacing w:after="120"/>
      </w:pPr>
      <w:bookmarkStart w:id="10" w:name="note_11"/>
      <w:r>
        <w:rPr>
          <w:b/>
          <w:sz w:val="20"/>
          <w:szCs w:val="20"/>
        </w:rPr>
        <w:t xml:space="preserve">11. Income tax</w:t>
      </w:r>
      <w:bookmarkEnd w:id="10"/>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pStyle w:val="Heading2"/>
        <w:spacing w:after="120"/>
      </w:pPr>
      <w:bookmarkStart w:id="11" w:name="note_12"/>
      <w:r>
        <w:rPr>
          <w:b/>
          <w:sz w:val="20"/>
          <w:szCs w:val="20"/>
        </w:rPr>
        <w:t xml:space="preserve">12. Notes to the statement of cash flows</w:t>
      </w:r>
      <w:bookmarkEnd w:id="11"/>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pStyle w:val="Heading2"/>
        <w:spacing w:after="120"/>
      </w:pPr>
      <w:bookmarkStart w:id="12" w:name="note_13"/>
      <w:r>
        <w:rPr>
          <w:b/>
          <w:sz w:val="20"/>
          <w:szCs w:val="20"/>
        </w:rPr>
        <w:t xml:space="preserve">13. Events after the end of the reporting period</w:t>
      </w:r>
      <w:bookmarkEnd w:id="12"/>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C8C8"/>
      </w:pBdr>
    </w:pPr>
    <w:r>
      <w:rPr>
        <w:sz w:val="16"/>
      </w:rPr>
      <w:fldChar w:fldCharType="begin"/>
    </w:r>
    <w:r>
      <w:instrText xml:space="preserve"> PAGE </w:instrText>
    </w:r>
    <w:r>
      <w:fldChar w:fldCharType="end"/>
    </w:r>
  </w:p>
</w:ftr>
</file>

<file path=word/header1.xml><?xml version="1.0" encoding="utf-8"?>
<w:hdr xmlns:w="http://schemas.openxmlformats.org/wordprocessingml/2006/main">
  <w:p>
    <w:pPr>
      <w:pBdr>
        <w:bottom w:val="single" w:sz="4" w:space="1" w:color="9A9A9A"/>
      </w:pBdr>
    </w:pPr>
    <w:r>
      <w:rPr>
        <w:b/>
        <w:sz w:val="18"/>
        <w:szCs w:val="18"/>
      </w:rPr>
      <w:t xml:space="preserve">AdminLess Composition Demo (Pty) Ltd</w:t>
    </w:r>
    <w:r>
      <w:br/>
    </w:r>
    <w:r>
      <w:rPr>
        <w:color w:val="595959"/>
        <w:sz w:val="16"/>
        <w:szCs w:val="16"/>
      </w:rPr>
      <w:t xml:space="preserve">(Registration number: 2019/440440/07)</w:t>
    </w:r>
    <w:r>
      <w:br/>
    </w:r>
    <w:r>
      <w:rPr>
        <w:color w:val="595959"/>
        <w:sz w:val="16"/>
        <w:szCs w:val="16"/>
      </w:rPr>
      <w:t xml:space="preserve">Annual Financial Statements for the year ended 31 March 2026</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