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F4E79"/>
          <w:sz w:val="28"/>
          <w:szCs w:val="28"/>
        </w:rPr>
        <w:t xml:space="preserve">Fédération Française des Échecs</w:t>
      </w:r>
    </w:p>
    <w:p>
      <w:pPr>
        <w:spacing w:after="400"/>
        <w:jc w:val="center"/>
      </w:pPr>
      <w:r>
        <w:rPr>
          <w:b/>
          <w:bCs/>
          <w:color w:val="202020"/>
          <w:sz w:val="40"/>
          <w:szCs w:val="40"/>
        </w:rPr>
        <w:t xml:space="preserve">Note de conception — Système avancé d'analyse vidéo</w:t>
      </w:r>
    </w:p>
    <w:p>
      <w:pPr>
        <w:spacing w:after="120"/>
        <w:jc w:val="center"/>
      </w:pPr>
      <w:r>
        <w:rPr>
          <w:color w:val="404040"/>
          <w:sz w:val="24"/>
          <w:szCs w:val="24"/>
        </w:rPr>
        <w:t xml:space="preserve">Reconnaissance de positions d'échecs à partir de la vidéo,</w:t>
      </w:r>
    </w:p>
    <w:p>
      <w:pPr>
        <w:spacing w:after="600"/>
        <w:jc w:val="center"/>
      </w:pPr>
      <w:r>
        <w:rPr>
          <w:color w:val="404040"/>
          <w:sz w:val="24"/>
          <w:szCs w:val="24"/>
        </w:rPr>
        <w:t xml:space="preserve">intégrée à l'agent IA via le Model Context Protocol (MCP)</w:t>
      </w:r>
    </w:p>
    <w:p>
      <w:pPr>
        <w:spacing w:after="80"/>
        <w:jc w:val="center"/>
      </w:pPr>
      <w:r>
        <w:rPr>
          <w:i/>
          <w:iCs/>
          <w:color w:val="595959"/>
          <w:sz w:val="22"/>
          <w:szCs w:val="22"/>
        </w:rPr>
        <w:t xml:space="preserve">Étude de faisabilité, architecture et estimation des coûts</w:t>
      </w:r>
    </w:p>
    <w:p>
      <w:pPr>
        <w:spacing w:before="800"/>
        <w:jc w:val="center"/>
      </w:pPr>
      <w:r>
        <w:rPr>
          <w:color w:val="595959"/>
          <w:sz w:val="20"/>
          <w:szCs w:val="20"/>
        </w:rPr>
        <w:t xml:space="preserve">Projet POC Agent IA ouvertures — IA Engineer</w:t>
      </w:r>
    </w:p>
    <w:p>
      <w:pPr>
        <w:jc w:val="center"/>
      </w:pPr>
      <w:r>
        <w:rPr>
          <w:color w:val="595959"/>
          <w:sz w:val="20"/>
          <w:szCs w:val="20"/>
        </w:rPr>
        <w:t xml:space="preserve">Document de conception (sans implémentation)</w:t>
      </w:r>
    </w:p>
    <w:p>
      <w:r>
        <w:br w:type="page"/>
      </w:r>
    </w:p>
    <w:p>
      <w:pPr>
        <w:pStyle w:val="Heading1"/>
        <w:spacing w:after="200"/>
      </w:pPr>
      <w:r>
        <w:t xml:space="preserve">Sommaire</w:t>
      </w:r>
    </w:p>
    <w:p>
      <w:pPr>
        <w:tabs>
          <w:tab w:val="right" w:pos="9638" w:leader="dot"/>
        </w:tabs>
        <w:spacing w:after="100"/>
      </w:pPr>
      <w:r>
        <w:rPr>
          <w:sz w:val="22"/>
          <w:szCs w:val="22"/>
        </w:rPr>
        <w:t xml:space="preserve">1. Résumé exécutif</w:t>
      </w:r>
      <w:r>
        <w:rPr>
          <w:sz w:val="22"/>
          <w:szCs w:val="22"/>
        </w:rPr>
        <w:t xml:space="preserve">	3</w:t>
      </w:r>
    </w:p>
    <w:p>
      <w:pPr>
        <w:tabs>
          <w:tab w:val="right" w:pos="9638" w:leader="dot"/>
        </w:tabs>
        <w:spacing w:after="100"/>
      </w:pPr>
      <w:r>
        <w:rPr>
          <w:sz w:val="22"/>
          <w:szCs w:val="22"/>
        </w:rPr>
        <w:t xml:space="preserve">2. Contexte et objectifs</w:t>
      </w:r>
      <w:r>
        <w:rPr>
          <w:sz w:val="22"/>
          <w:szCs w:val="22"/>
        </w:rPr>
        <w:t xml:space="preserve">	3</w:t>
      </w:r>
    </w:p>
    <w:p>
      <w:pPr>
        <w:tabs>
          <w:tab w:val="right" w:pos="9638" w:leader="dot"/>
        </w:tabs>
        <w:spacing w:after="100"/>
      </w:pPr>
      <w:r>
        <w:rPr>
          <w:sz w:val="22"/>
          <w:szCs w:val="22"/>
        </w:rPr>
        <w:t xml:space="preserve">3. Cas d'usage et bénéfices attendus</w:t>
      </w:r>
      <w:r>
        <w:rPr>
          <w:sz w:val="22"/>
          <w:szCs w:val="22"/>
        </w:rPr>
        <w:t xml:space="preserve">	3</w:t>
      </w:r>
    </w:p>
    <w:p>
      <w:pPr>
        <w:tabs>
          <w:tab w:val="right" w:pos="9638" w:leader="dot"/>
        </w:tabs>
        <w:spacing w:after="100"/>
      </w:pPr>
      <w:r>
        <w:rPr>
          <w:sz w:val="22"/>
          <w:szCs w:val="22"/>
        </w:rPr>
        <w:t xml:space="preserve">4. Architecture technique fondée sur MCP</w:t>
      </w:r>
      <w:r>
        <w:rPr>
          <w:sz w:val="22"/>
          <w:szCs w:val="22"/>
        </w:rPr>
        <w:t xml:space="preserve">	4</w:t>
      </w:r>
    </w:p>
    <w:p>
      <w:pPr>
        <w:tabs>
          <w:tab w:val="right" w:pos="9638" w:leader="dot"/>
        </w:tabs>
        <w:spacing w:after="100"/>
      </w:pPr>
      <w:r>
        <w:rPr>
          <w:sz w:val="22"/>
          <w:szCs w:val="22"/>
        </w:rPr>
        <w:t xml:space="preserve">5. État de l'art des technologies de détection</w:t>
      </w:r>
      <w:r>
        <w:rPr>
          <w:sz w:val="22"/>
          <w:szCs w:val="22"/>
        </w:rPr>
        <w:t xml:space="preserve">	5</w:t>
      </w:r>
    </w:p>
    <w:p>
      <w:pPr>
        <w:tabs>
          <w:tab w:val="right" w:pos="9638" w:leader="dot"/>
        </w:tabs>
        <w:spacing w:after="100"/>
      </w:pPr>
      <w:r>
        <w:rPr>
          <w:sz w:val="22"/>
          <w:szCs w:val="22"/>
        </w:rPr>
        <w:t xml:space="preserve">6. Étude de faisabilité</w:t>
      </w:r>
      <w:r>
        <w:rPr>
          <w:sz w:val="22"/>
          <w:szCs w:val="22"/>
        </w:rPr>
        <w:t xml:space="preserve">	5</w:t>
      </w:r>
    </w:p>
    <w:p>
      <w:pPr>
        <w:tabs>
          <w:tab w:val="right" w:pos="9638" w:leader="dot"/>
        </w:tabs>
        <w:spacing w:after="100"/>
      </w:pPr>
      <w:r>
        <w:rPr>
          <w:sz w:val="22"/>
          <w:szCs w:val="22"/>
        </w:rPr>
        <w:t xml:space="preserve">7. Estimation des coûts</w:t>
      </w:r>
      <w:r>
        <w:rPr>
          <w:sz w:val="22"/>
          <w:szCs w:val="22"/>
        </w:rPr>
        <w:t xml:space="preserve">	6</w:t>
      </w:r>
    </w:p>
    <w:p>
      <w:pPr>
        <w:tabs>
          <w:tab w:val="right" w:pos="9638" w:leader="dot"/>
        </w:tabs>
        <w:spacing w:after="100"/>
      </w:pPr>
      <w:r>
        <w:rPr>
          <w:sz w:val="22"/>
          <w:szCs w:val="22"/>
        </w:rPr>
        <w:t xml:space="preserve">8. Risques et mesures de mitigation</w:t>
      </w:r>
      <w:r>
        <w:rPr>
          <w:sz w:val="22"/>
          <w:szCs w:val="22"/>
        </w:rPr>
        <w:t xml:space="preserve">	7</w:t>
      </w:r>
    </w:p>
    <w:p>
      <w:pPr>
        <w:tabs>
          <w:tab w:val="right" w:pos="9638" w:leader="dot"/>
        </w:tabs>
        <w:spacing w:after="100"/>
      </w:pPr>
      <w:r>
        <w:rPr>
          <w:sz w:val="22"/>
          <w:szCs w:val="22"/>
        </w:rPr>
        <w:t xml:space="preserve">9. Alternatives envisagées</w:t>
      </w:r>
      <w:r>
        <w:rPr>
          <w:sz w:val="22"/>
          <w:szCs w:val="22"/>
        </w:rPr>
        <w:t xml:space="preserve">	7</w:t>
      </w:r>
    </w:p>
    <w:p>
      <w:pPr>
        <w:tabs>
          <w:tab w:val="right" w:pos="9638" w:leader="dot"/>
        </w:tabs>
        <w:spacing w:after="100"/>
      </w:pPr>
      <w:r>
        <w:rPr>
          <w:sz w:val="22"/>
          <w:szCs w:val="22"/>
        </w:rPr>
        <w:t xml:space="preserve">10. Feuille de route de développement</w:t>
      </w:r>
      <w:r>
        <w:rPr>
          <w:sz w:val="22"/>
          <w:szCs w:val="22"/>
        </w:rPr>
        <w:t xml:space="preserve">	8</w:t>
      </w:r>
    </w:p>
    <w:p>
      <w:pPr>
        <w:tabs>
          <w:tab w:val="right" w:pos="9638" w:leader="dot"/>
        </w:tabs>
        <w:spacing w:after="100"/>
      </w:pPr>
      <w:r>
        <w:rPr>
          <w:sz w:val="22"/>
          <w:szCs w:val="22"/>
        </w:rPr>
        <w:t xml:space="preserve">11. Recommandation et conclusion</w:t>
      </w:r>
      <w:r>
        <w:rPr>
          <w:sz w:val="22"/>
          <w:szCs w:val="22"/>
        </w:rPr>
        <w:t xml:space="preserve">	8</w:t>
      </w:r>
    </w:p>
    <w:p>
      <w:pPr>
        <w:tabs>
          <w:tab w:val="right" w:pos="9638" w:leader="dot"/>
        </w:tabs>
        <w:spacing w:after="100"/>
      </w:pPr>
      <w:r>
        <w:rPr>
          <w:sz w:val="22"/>
          <w:szCs w:val="22"/>
        </w:rPr>
        <w:t xml:space="preserve">12. Références et ressources</w:t>
      </w:r>
      <w:r>
        <w:rPr>
          <w:sz w:val="22"/>
          <w:szCs w:val="22"/>
        </w:rPr>
        <w:t xml:space="preserve">	8</w:t>
      </w:r>
    </w:p>
    <w:p>
      <w:r>
        <w:br w:type="page"/>
      </w:r>
    </w:p>
    <w:p>
      <w:pPr>
        <w:pStyle w:val="Heading1"/>
        <w:spacing w:after="120" w:before="240"/>
      </w:pPr>
      <w:r>
        <w:t xml:space="preserve">1. Résumé exécutif</w:t>
      </w:r>
    </w:p>
    <w:p>
      <w:pPr>
        <w:spacing w:after="120" w:line="276"/>
        <w:jc w:val="both"/>
      </w:pPr>
      <w:r>
        <w:rPr>
          <w:sz w:val="22"/>
          <w:szCs w:val="22"/>
        </w:rPr>
        <w:t xml:space="preserve">Cette note évalue la faisabilité d'un système avancé capable d'analyser un flux vidéo (webcam ou fichier) pour reconnaître automatiquement une position d'échecs physique, la convertir en identifiant FEN, et alimenter l'agent IA d'accompagnement aux ouvertures développé lors du POC. L'objectif est de faire le pont entre le jeu sur échiquier réel — celui des jeunes espoirs en tournoi ou à l'entraînement — et les capacités numériques de l'agent (théorie Lichess, évaluation Stockfish, contexte documentaire, vidéos).</w:t>
      </w:r>
    </w:p>
    <w:p>
      <w:pPr>
        <w:spacing w:after="120" w:line="276"/>
        <w:jc w:val="both"/>
      </w:pPr>
      <w:r>
        <w:rPr>
          <w:sz w:val="22"/>
          <w:szCs w:val="22"/>
        </w:rPr>
        <w:t xml:space="preserve">L'architecture proposée repose sur le Model Context Protocol (MCP) : la brique de vision est exposée comme un serveur MCP autonome (« MCP Vision »), aux côtés des outils existants eux aussi ré-exposés en serveurs MCP. L'agent LangGraph agit comme hôte/client MCP. Cette approche modulaire découple la vision du reste du système et facilite son évolution.</w:t>
      </w:r>
    </w:p>
    <w:p>
      <w:pPr>
        <w:spacing w:after="120" w:line="276"/>
        <w:jc w:val="both"/>
      </w:pPr>
      <w:r>
        <w:rPr>
          <w:sz w:val="22"/>
          <w:szCs w:val="22"/>
        </w:rPr>
        <w:t xml:space="preserve">La faisabilité technique est jugée réaliste mais non triviale : la détection d'échiquier et la reconnaissance de pièces en conditions réelles (éclairage, angle, styles de pièces, mains qui masquent le plateau) restent le principal facteur de risque et de coût. Le coût de construction (build) est estimé entre 40 000 € et 55 000 €, principalement en effort de développement ; les coûts d'exploitation (opex) sont modestes en phase pilote (80 à 250 € / mois), et augmentent surtout si l'on exige de l'inférence GPU temps réel permanente. Un enjeu majeur, spécifique à la FFE, est la protection des données : filmer de jeunes joueurs (mineurs) impose une conformité RGPD stricte.</w:t>
      </w:r>
    </w:p>
    <w:p>
      <w:pPr>
        <w:spacing w:after="120" w:line="276"/>
        <w:jc w:val="both"/>
      </w:pPr>
      <w:r>
        <w:rPr>
          <w:sz w:val="22"/>
          <w:szCs w:val="22"/>
        </w:rPr>
        <w:t xml:space="preserve">Deux alternatives moins coûteuses sont proposées (analyse par photo unique, et échiquier électronique à capteurs), ainsi qu'une feuille de route progressive en quatre phases (POC → MVP → pilote → production).</w:t>
      </w:r>
    </w:p>
    <w:p>
      <w:pPr>
        <w:pStyle w:val="Heading1"/>
        <w:spacing w:after="120" w:before="240"/>
      </w:pPr>
      <w:r>
        <w:t xml:space="preserve">2. Contexte et objectifs</w:t>
      </w:r>
    </w:p>
    <w:p>
      <w:pPr>
        <w:spacing w:after="120" w:line="276"/>
        <w:jc w:val="both"/>
      </w:pPr>
      <w:r>
        <w:rPr>
          <w:sz w:val="22"/>
          <w:szCs w:val="22"/>
        </w:rPr>
        <w:t xml:space="preserve">Le POC actuel propose un échiquier virtuel : l'utilisateur joue des coups dans l'interface Angular, et l'agent renvoie coups théoriques, évaluation, contexte et vidéos. Le système avancé vise à supprimer la saisie manuelle en reconnaissant directement la position depuis une caméra filmant un échiquier réel. Le jeune joueur pourrait ainsi recevoir un accompagnement pendant qu'il s'entraîne sur un plateau physique, ou analyser a posteriori la vidéo d'une de ses parties.</w:t>
      </w:r>
    </w:p>
    <w:p>
      <w:pPr>
        <w:pStyle w:val="Heading2"/>
        <w:spacing w:after="80" w:before="180"/>
      </w:pPr>
      <w:r>
        <w:t xml:space="preserve">2.1 Objectifs</w:t>
      </w:r>
    </w:p>
    <w:p>
      <w:pPr>
        <w:pStyle w:val="ListParagraph"/>
        <w:numPr>
          <w:ilvl w:val="0"/>
          <w:numId w:val="1"/>
        </w:numPr>
        <w:spacing w:after="60" w:line="264"/>
      </w:pPr>
      <w:r>
        <w:rPr>
          <w:sz w:val="22"/>
          <w:szCs w:val="22"/>
        </w:rPr>
        <w:t xml:space="preserve">Reconnaître automatiquement une position d'échecs à partir d'une image ou d'un flux vidéo et produire un FEN valide.</w:t>
      </w:r>
    </w:p>
    <w:p>
      <w:pPr>
        <w:pStyle w:val="ListParagraph"/>
        <w:numPr>
          <w:ilvl w:val="0"/>
          <w:numId w:val="1"/>
        </w:numPr>
        <w:spacing w:after="60" w:line="264"/>
      </w:pPr>
      <w:r>
        <w:rPr>
          <w:sz w:val="22"/>
          <w:szCs w:val="22"/>
        </w:rPr>
        <w:t xml:space="preserve">Réinjecter ce FEN dans l'agent existant pour bénéficier, sans changement, de toutes ses capacités (théorie, moteur, RAG, vidéos).</w:t>
      </w:r>
    </w:p>
    <w:p>
      <w:pPr>
        <w:pStyle w:val="ListParagraph"/>
        <w:numPr>
          <w:ilvl w:val="0"/>
          <w:numId w:val="1"/>
        </w:numPr>
        <w:spacing w:after="60" w:line="264"/>
      </w:pPr>
      <w:r>
        <w:rPr>
          <w:sz w:val="22"/>
          <w:szCs w:val="22"/>
        </w:rPr>
        <w:t xml:space="preserve">Exposer la capacité de vision de façon standardisée et réutilisable via MCP, pour préserver la modularité du système.</w:t>
      </w:r>
    </w:p>
    <w:p>
      <w:pPr>
        <w:pStyle w:val="ListParagraph"/>
        <w:numPr>
          <w:ilvl w:val="0"/>
          <w:numId w:val="1"/>
        </w:numPr>
        <w:spacing w:after="60" w:line="264"/>
      </w:pPr>
      <w:r>
        <w:rPr>
          <w:sz w:val="22"/>
          <w:szCs w:val="22"/>
        </w:rPr>
        <w:t xml:space="preserve">Rester compatible avec les contraintes de la FFE : simplicité d'usage pour des jeunes, protection des données des mineurs, coûts maîtrisés.</w:t>
      </w:r>
    </w:p>
    <w:p>
      <w:pPr>
        <w:pStyle w:val="Heading1"/>
        <w:spacing w:after="120" w:before="240"/>
      </w:pPr>
      <w:r>
        <w:t xml:space="preserve">3. Cas d'usage et bénéfices attendus</w:t>
      </w:r>
    </w:p>
    <w:p>
      <w:pPr>
        <w:pStyle w:val="Heading2"/>
        <w:spacing w:after="80" w:before="180"/>
      </w:pPr>
      <w:r>
        <w:t xml:space="preserve">3.1 Cas d'usage</w:t>
      </w:r>
    </w:p>
    <w:p>
      <w:pPr>
        <w:pStyle w:val="ListParagraph"/>
        <w:numPr>
          <w:ilvl w:val="0"/>
          <w:numId w:val="1"/>
        </w:numPr>
        <w:spacing w:after="60" w:line="264"/>
      </w:pPr>
      <w:r>
        <w:rPr>
          <w:sz w:val="22"/>
          <w:szCs w:val="22"/>
        </w:rPr>
        <w:t xml:space="preserve">Entraînement « au-dessus de l'échiquier » : une webcam filme le plateau, l'agent suit la partie coup par coup et propose des ressources en temps réel.</w:t>
      </w:r>
    </w:p>
    <w:p>
      <w:pPr>
        <w:pStyle w:val="ListParagraph"/>
        <w:numPr>
          <w:ilvl w:val="0"/>
          <w:numId w:val="1"/>
        </w:numPr>
        <w:spacing w:after="60" w:line="264"/>
      </w:pPr>
      <w:r>
        <w:rPr>
          <w:sz w:val="22"/>
          <w:szCs w:val="22"/>
        </w:rPr>
        <w:t xml:space="preserve">Analyse post-partie : import d'une vidéo d'une partie jouée en club, extraction de la séquence de positions puis restitution pédagogique.</w:t>
      </w:r>
    </w:p>
    <w:p>
      <w:pPr>
        <w:pStyle w:val="ListParagraph"/>
        <w:numPr>
          <w:ilvl w:val="0"/>
          <w:numId w:val="1"/>
        </w:numPr>
        <w:spacing w:after="60" w:line="264"/>
      </w:pPr>
      <w:r>
        <w:rPr>
          <w:sz w:val="22"/>
          <w:szCs w:val="22"/>
        </w:rPr>
        <w:t xml:space="preserve">Numérisation de parties historiques filmées, pour enrichir la base de données de l'agent.</w:t>
      </w:r>
    </w:p>
    <w:p>
      <w:pPr>
        <w:pStyle w:val="Heading2"/>
        <w:spacing w:after="80" w:before="180"/>
      </w:pPr>
      <w:r>
        <w:t xml:space="preserve">3.2 Bénéfices</w:t>
      </w:r>
    </w:p>
    <w:p>
      <w:pPr>
        <w:pStyle w:val="ListParagraph"/>
        <w:numPr>
          <w:ilvl w:val="0"/>
          <w:numId w:val="1"/>
        </w:numPr>
        <w:spacing w:after="60" w:line="264"/>
      </w:pPr>
      <w:r>
        <w:rPr>
          <w:sz w:val="22"/>
          <w:szCs w:val="22"/>
        </w:rPr>
        <w:t xml:space="preserve">Continuité entre le jeu physique (celui des tournois) et l'accompagnement numérique — forte valeur pédagogique.</w:t>
      </w:r>
    </w:p>
    <w:p>
      <w:pPr>
        <w:pStyle w:val="ListParagraph"/>
        <w:numPr>
          <w:ilvl w:val="0"/>
          <w:numId w:val="1"/>
        </w:numPr>
        <w:spacing w:after="60" w:line="264"/>
      </w:pPr>
      <w:r>
        <w:rPr>
          <w:sz w:val="22"/>
          <w:szCs w:val="22"/>
        </w:rPr>
        <w:t xml:space="preserve">Suppression d'une friction (la saisie manuelle), particulièrement utile pour de jeunes utilisateurs.</w:t>
      </w:r>
    </w:p>
    <w:p>
      <w:pPr>
        <w:pStyle w:val="ListParagraph"/>
        <w:numPr>
          <w:ilvl w:val="0"/>
          <w:numId w:val="1"/>
        </w:numPr>
        <w:spacing w:after="60" w:line="264"/>
      </w:pPr>
      <w:r>
        <w:rPr>
          <w:sz w:val="22"/>
          <w:szCs w:val="22"/>
        </w:rPr>
        <w:t xml:space="preserve">Réutilisation intégrale de l'agent existant : la vision n'ajoute qu'une source d'entrée, pas une refonte.</w:t>
      </w:r>
    </w:p>
    <w:p>
      <w:pPr>
        <w:pStyle w:val="ListParagraph"/>
        <w:numPr>
          <w:ilvl w:val="0"/>
          <w:numId w:val="1"/>
        </w:numPr>
        <w:spacing w:after="60" w:line="264"/>
      </w:pPr>
      <w:r>
        <w:rPr>
          <w:sz w:val="22"/>
          <w:szCs w:val="22"/>
        </w:rPr>
        <w:t xml:space="preserve">Architecture MCP réutilisable : la brique de vision pourra servir à d'autres applications de la fédération.</w:t>
      </w:r>
    </w:p>
    <w:p>
      <w:pPr>
        <w:pStyle w:val="Heading2"/>
        <w:spacing w:after="80" w:before="180"/>
      </w:pPr>
      <w:r>
        <w:t xml:space="preserve">3.3 Limites intrinsèques</w:t>
      </w:r>
    </w:p>
    <w:p>
      <w:pPr>
        <w:pStyle w:val="ListParagraph"/>
        <w:numPr>
          <w:ilvl w:val="0"/>
          <w:numId w:val="1"/>
        </w:numPr>
        <w:spacing w:after="60" w:line="264"/>
      </w:pPr>
      <w:r>
        <w:rPr>
          <w:sz w:val="22"/>
          <w:szCs w:val="22"/>
        </w:rPr>
        <w:t xml:space="preserve">La précision de la reconnaissance dépend fortement des conditions de prise de vue et ne sera jamais parfaite.</w:t>
      </w:r>
    </w:p>
    <w:p>
      <w:pPr>
        <w:pStyle w:val="ListParagraph"/>
        <w:numPr>
          <w:ilvl w:val="0"/>
          <w:numId w:val="1"/>
        </w:numPr>
        <w:spacing w:after="60" w:line="264"/>
      </w:pPr>
      <w:r>
        <w:rPr>
          <w:sz w:val="22"/>
          <w:szCs w:val="22"/>
        </w:rPr>
        <w:t xml:space="preserve">Le temps réel « fluide » suppose des ressources de calcul non négligeables.</w:t>
      </w:r>
    </w:p>
    <w:p>
      <w:pPr>
        <w:pStyle w:val="ListParagraph"/>
        <w:numPr>
          <w:ilvl w:val="0"/>
          <w:numId w:val="1"/>
        </w:numPr>
        <w:spacing w:after="60" w:line="264"/>
      </w:pPr>
      <w:r>
        <w:rPr>
          <w:sz w:val="22"/>
          <w:szCs w:val="22"/>
        </w:rPr>
        <w:t xml:space="preserve">La captation vidéo de mineurs soulève des obligations juridiques et éthiques importantes.</w:t>
      </w:r>
    </w:p>
    <w:p>
      <w:pPr>
        <w:pStyle w:val="Heading1"/>
        <w:spacing w:after="120" w:before="240"/>
      </w:pPr>
      <w:r>
        <w:t xml:space="preserve">4. Architecture technique fondée sur MCP</w:t>
      </w:r>
    </w:p>
    <w:p>
      <w:pPr>
        <w:pStyle w:val="Heading2"/>
        <w:spacing w:after="80" w:before="180"/>
      </w:pPr>
      <w:r>
        <w:t xml:space="preserve">4.1 Vue d'ensemble</w:t>
      </w:r>
    </w:p>
    <w:p>
      <w:pPr>
        <w:spacing w:after="120" w:line="276"/>
        <w:jc w:val="both"/>
      </w:pPr>
      <w:r>
        <w:rPr>
          <w:sz w:val="22"/>
          <w:szCs w:val="22"/>
        </w:rPr>
        <w:t xml:space="preserve">Le système est organisé en couches faiblement couplées. La couche de capture échantillonne le flux vidéo en trames de qualité suffisante. Le serveur MCP Vision transforme une trame en FEN. L'agent LangGraph, jouant le rôle d'hôte MCP, consomme ce FEN puis interroge les autres serveurs MCP (moteur, Lichess, RAG, YouTube) exactement comme dans le POC actuel. Le backend FastAPI et le front Angular restent la porte d'entrée utilisateur.</w:t>
      </w:r>
    </w:p>
    <w:p>
      <w:pPr>
        <w:spacing w:after="60" w:before="120"/>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05050"/>
                    </a:xfrm>
                    <a:prstGeom prst="rect">
                      <a:avLst/>
                    </a:prstGeom>
                  </pic:spPr>
                </pic:pic>
              </a:graphicData>
            </a:graphic>
          </wp:inline>
        </w:drawing>
      </w:r>
    </w:p>
    <w:p>
      <w:pPr>
        <w:spacing w:after="160"/>
        <w:jc w:val="center"/>
      </w:pPr>
      <w:r>
        <w:rPr>
          <w:i/>
          <w:iCs/>
          <w:color w:val="595959"/>
          <w:sz w:val="18"/>
          <w:szCs w:val="18"/>
        </w:rPr>
        <w:t xml:space="preserve">Figure 1 — Architecture cible : la vision exposée comme serveur MCP, consommée par l'agent aux côtés des autres outils.</w:t>
      </w:r>
    </w:p>
    <w:p>
      <w:pPr>
        <w:pStyle w:val="Heading2"/>
        <w:spacing w:after="80" w:before="180"/>
      </w:pPr>
      <w:r>
        <w:t xml:space="preserve">4.2 Le pipeline de vision (serveur MCP Vision)</w:t>
      </w:r>
    </w:p>
    <w:p>
      <w:pPr>
        <w:spacing w:after="120" w:line="276"/>
        <w:jc w:val="both"/>
      </w:pPr>
      <w:r>
        <w:rPr>
          <w:sz w:val="22"/>
          <w:szCs w:val="22"/>
        </w:rPr>
        <w:t xml:space="preserve">En interne, le serveur MCP Vision enchaîne des étapes classiques de vision par ordinateur. La séparation en étapes permet de remplacer indépendamment chaque modèle (par exemple passer d'OpenCV à un modèle profond pour la détection) sans toucher au reste.</w:t>
      </w:r>
    </w:p>
    <w:p>
      <w:pPr>
        <w:spacing w:after="60" w:before="120"/>
        <w:jc w:val="center"/>
      </w:pPr>
      <w:r>
        <w:drawing>
          <wp:inline distT="0" distB="0" distL="0" distR="0">
            <wp:extent cx="5715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0525"/>
                    </a:xfrm>
                    <a:prstGeom prst="rect">
                      <a:avLst/>
                    </a:prstGeom>
                  </pic:spPr>
                </pic:pic>
              </a:graphicData>
            </a:graphic>
          </wp:inline>
        </w:drawing>
      </w:r>
    </w:p>
    <w:p>
      <w:pPr>
        <w:spacing w:after="160"/>
        <w:jc w:val="center"/>
      </w:pPr>
      <w:r>
        <w:rPr>
          <w:i/>
          <w:iCs/>
          <w:color w:val="595959"/>
          <w:sz w:val="18"/>
          <w:szCs w:val="18"/>
        </w:rPr>
        <w:t xml:space="preserve">Figure 2 — Pipeline interne : de la trame vidéo au FEN validé.</w:t>
      </w:r>
    </w:p>
    <w:p>
      <w:pPr>
        <w:spacing w:after="120" w:line="276"/>
        <w:jc w:val="both"/>
      </w:pPr>
      <w:r>
        <w:rPr>
          <w:sz w:val="22"/>
          <w:szCs w:val="22"/>
        </w:rPr>
        <w:t xml:space="preserve">La dernière étape s'appuie sur python-chess (déjà utilisé dans le POC) pour valider la légalité de la position reconstruite et rejeter les FEN incohérents, ce qui améliore nettement la robustesse perçue.</w:t>
      </w:r>
    </w:p>
    <w:p>
      <w:pPr>
        <w:pStyle w:val="Heading2"/>
        <w:spacing w:after="80" w:before="180"/>
      </w:pPr>
      <w:r>
        <w:t xml:space="preserve">4.3 Pourquoi MCP (FastMCP)</w:t>
      </w:r>
    </w:p>
    <w:p>
      <w:pPr>
        <w:spacing w:after="120" w:line="276"/>
        <w:jc w:val="both"/>
      </w:pPr>
      <w:r>
        <w:rPr>
          <w:sz w:val="22"/>
          <w:szCs w:val="22"/>
        </w:rPr>
        <w:t xml:space="preserve">Le Model Context Protocol standardise la façon dont un agent/LLM découvre et appelle des outils externes. Exposer la vision — et les outils existants — via FastMCP apporte plusieurs bénéfices concrets :</w:t>
      </w:r>
    </w:p>
    <w:p>
      <w:pPr>
        <w:pStyle w:val="ListParagraph"/>
        <w:numPr>
          <w:ilvl w:val="0"/>
          <w:numId w:val="1"/>
        </w:numPr>
        <w:spacing w:after="60" w:line="264"/>
      </w:pPr>
      <w:r>
        <w:rPr>
          <w:sz w:val="22"/>
          <w:szCs w:val="22"/>
        </w:rPr>
        <w:t xml:space="preserve">Modularité : chaque capacité est un serveur indépendant, déployable, versionnable et testable séparément.</w:t>
      </w:r>
    </w:p>
    <w:p>
      <w:pPr>
        <w:pStyle w:val="ListParagraph"/>
        <w:numPr>
          <w:ilvl w:val="0"/>
          <w:numId w:val="1"/>
        </w:numPr>
        <w:spacing w:after="60" w:line="264"/>
      </w:pPr>
      <w:r>
        <w:rPr>
          <w:sz w:val="22"/>
          <w:szCs w:val="22"/>
        </w:rPr>
        <w:t xml:space="preserve">Interopérabilité : tout client compatible MCP (l'agent LangGraph, mais aussi d'autres outils) peut consommer les mêmes serveurs sans code d'intégration spécifique.</w:t>
      </w:r>
    </w:p>
    <w:p>
      <w:pPr>
        <w:pStyle w:val="ListParagraph"/>
        <w:numPr>
          <w:ilvl w:val="0"/>
          <w:numId w:val="1"/>
        </w:numPr>
        <w:spacing w:after="60" w:line="264"/>
      </w:pPr>
      <w:r>
        <w:rPr>
          <w:sz w:val="22"/>
          <w:szCs w:val="22"/>
        </w:rPr>
        <w:t xml:space="preserve">Évolutivité : on peut remplacer le modèle de vision, ou en héberger plusieurs (CPU/GPU), derrière le même contrat d'outil.</w:t>
      </w:r>
    </w:p>
    <w:p>
      <w:pPr>
        <w:pStyle w:val="ListParagraph"/>
        <w:numPr>
          <w:ilvl w:val="0"/>
          <w:numId w:val="1"/>
        </w:numPr>
        <w:spacing w:after="60" w:line="264"/>
      </w:pPr>
      <w:r>
        <w:rPr>
          <w:sz w:val="22"/>
          <w:szCs w:val="22"/>
        </w:rPr>
        <w:t xml:space="preserve">Réutilisabilité : la brique Vision devient un actif réutilisable pour d'autres projets de la fédération.</w:t>
      </w:r>
    </w:p>
    <w:p>
      <w:pPr>
        <w:spacing w:after="120" w:line="276"/>
        <w:jc w:val="both"/>
      </w:pPr>
      <w:r>
        <w:rPr>
          <w:sz w:val="22"/>
          <w:szCs w:val="22"/>
        </w:rPr>
        <w:t xml:space="preserve">Limites à assumer : MCP ajoute une couche d'abstraction (donc un peu de latence et d'exploitation supplémentaire) et reste un écosystème jeune ; pour un POC on peut commencer par un seul serveur MCP Vision et ne migrer les autres outils que progressivement.</w:t>
      </w:r>
    </w:p>
    <w:p>
      <w:pPr>
        <w:pStyle w:val="Heading1"/>
        <w:spacing w:after="120" w:before="240"/>
      </w:pPr>
      <w:r>
        <w:t xml:space="preserve">5. État de l'art des technologies de détection</w:t>
      </w:r>
    </w:p>
    <w:p>
      <w:pPr>
        <w:spacing w:after="120" w:line="276"/>
        <w:jc w:val="both"/>
      </w:pPr>
      <w:r>
        <w:rPr>
          <w:sz w:val="22"/>
          <w:szCs w:val="22"/>
        </w:rPr>
        <w:t xml:space="preserve">La reconnaissance de position d'échecs par vision est un problème étudié, avec des briques open source disponibles. On distingue deux sous-problèmes : localiser l'échiquier, puis identifier le contenu de chaque case.</w:t>
      </w:r>
    </w:p>
    <w:p>
      <w:pPr>
        <w:pStyle w:val="Heading2"/>
        <w:spacing w:after="80" w:before="180"/>
      </w:pPr>
      <w:r>
        <w:t xml:space="preserve">5.1 Détection et rectification de l'échiquier</w:t>
      </w:r>
    </w:p>
    <w:p>
      <w:pPr>
        <w:pStyle w:val="ListParagraph"/>
        <w:numPr>
          <w:ilvl w:val="0"/>
          <w:numId w:val="1"/>
        </w:numPr>
        <w:spacing w:after="60" w:line="264"/>
      </w:pPr>
      <w:r>
        <w:rPr>
          <w:sz w:val="22"/>
          <w:szCs w:val="22"/>
        </w:rPr>
        <w:t xml:space="preserve">OpenCV : findChessboardCorners et détection de lignes (transformée de Hough) permettent de repérer la grille pour un plateau bien visible et peu incliné ; approche légère mais sensible aux conditions réelles.</w:t>
      </w:r>
    </w:p>
    <w:p>
      <w:pPr>
        <w:pStyle w:val="ListParagraph"/>
        <w:numPr>
          <w:ilvl w:val="0"/>
          <w:numId w:val="1"/>
        </w:numPr>
        <w:spacing w:after="60" w:line="264"/>
      </w:pPr>
      <w:r>
        <w:rPr>
          <w:sz w:val="22"/>
          <w:szCs w:val="22"/>
        </w:rPr>
        <w:t xml:space="preserve">Approches par apprentissage profond : segmentation ou détection de coins par réseau de neurones, plus robustes aux angles et à l'éclairage, au prix d'un entraînement et de données annotées.</w:t>
      </w:r>
    </w:p>
    <w:p>
      <w:pPr>
        <w:pStyle w:val="ListParagraph"/>
        <w:numPr>
          <w:ilvl w:val="0"/>
          <w:numId w:val="1"/>
        </w:numPr>
        <w:spacing w:after="60" w:line="264"/>
      </w:pPr>
      <w:r>
        <w:rPr>
          <w:sz w:val="22"/>
          <w:szCs w:val="22"/>
        </w:rPr>
        <w:t xml:space="preserve">Rectification par homographie : une fois les quatre coins connus, on redresse l'image en une grille 8×8 normalisée, ce qui simplifie l'étape suivante.</w:t>
      </w:r>
    </w:p>
    <w:p>
      <w:pPr>
        <w:pStyle w:val="Heading2"/>
        <w:spacing w:after="80" w:before="180"/>
      </w:pPr>
      <w:r>
        <w:t xml:space="preserve">5.2 Reconnaissance des pièces</w:t>
      </w:r>
    </w:p>
    <w:p>
      <w:pPr>
        <w:pStyle w:val="ListParagraph"/>
        <w:numPr>
          <w:ilvl w:val="0"/>
          <w:numId w:val="1"/>
        </w:numPr>
        <w:spacing w:after="60" w:line="264"/>
      </w:pPr>
      <w:r>
        <w:rPr>
          <w:sz w:val="22"/>
          <w:szCs w:val="22"/>
        </w:rPr>
        <w:t xml:space="preserve">Classification par case : un CNN classe chaque case parmi 13 classes (6 pièces × 2 couleurs + case vide). Robuste et simple à entraîner sur images redressées.</w:t>
      </w:r>
    </w:p>
    <w:p>
      <w:pPr>
        <w:pStyle w:val="ListParagraph"/>
        <w:numPr>
          <w:ilvl w:val="0"/>
          <w:numId w:val="1"/>
        </w:numPr>
        <w:spacing w:after="60" w:line="264"/>
      </w:pPr>
      <w:r>
        <w:rPr>
          <w:sz w:val="22"/>
          <w:szCs w:val="22"/>
        </w:rPr>
        <w:t xml:space="preserve">Détection d'objets (YOLO) : détecte directement les pièces dans l'image ; utile pour les vues en perspective mais plus lourd à annoter.</w:t>
      </w:r>
    </w:p>
    <w:p>
      <w:pPr>
        <w:pStyle w:val="ListParagraph"/>
        <w:numPr>
          <w:ilvl w:val="0"/>
          <w:numId w:val="1"/>
        </w:numPr>
        <w:spacing w:after="60" w:line="264"/>
      </w:pPr>
      <w:r>
        <w:rPr>
          <w:sz w:val="22"/>
          <w:szCs w:val="22"/>
        </w:rPr>
        <w:t xml:space="preserve">Projets de référence : des travaux existants (par ex. LiveChess2FEN, jeux de données Roboflow, et l'approche 3D illustrée par le dépôt fenify-3D) montrent la faisabilité et fournissent des points de départ, notamment pour les pièces vues de biais ou en 3D.</w:t>
      </w:r>
    </w:p>
    <w:p>
      <w:pPr>
        <w:spacing w:after="120" w:line="276"/>
        <w:jc w:val="both"/>
      </w:pPr>
      <w:r>
        <w:rPr>
          <w:sz w:val="22"/>
          <w:szCs w:val="22"/>
        </w:rPr>
        <w:t xml:space="preserve">Enseignement principal : la vue de dessus (caméra zénithale) simplifie énormément le problème, tandis que la vue de joueur (perspective, pièces 3D qui s'occultent) est nettement plus difficile. Le choix de la contrainte de prise de vue est le premier levier de faisabilité et de coût.</w:t>
      </w:r>
    </w:p>
    <w:p>
      <w:pPr>
        <w:pStyle w:val="Heading1"/>
        <w:spacing w:after="120" w:before="240"/>
      </w:pPr>
      <w:r>
        <w:t xml:space="preserve">6. Étude de faisabilité</w:t>
      </w:r>
    </w:p>
    <w:p>
      <w:pPr>
        <w:pStyle w:val="Heading2"/>
        <w:spacing w:after="80" w:before="180"/>
      </w:pPr>
      <w:r>
        <w:t xml:space="preserve">6.1 Complexité par composant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400"/>
        <w:gridCol w:w="1900"/>
        <w:gridCol w:w="3100"/>
      </w:tblGrid>
      <w:tr>
        <w:trPr>
          <w:tblHeader/>
        </w:trPr>
        <w:tc>
          <w:tcPr>
            <w:tcW w:type="dxa" w:w="2600"/>
            <w:shd w:fill="1F4E79" w:color="auto" w:val="clear"/>
            <w:tcMar>
              <w:top w:type="dxa" w:w="40"/>
              <w:left w:type="dxa" w:w="80"/>
              <w:bottom w:type="dxa" w:w="40"/>
              <w:right w:type="dxa" w:w="80"/>
            </w:tcMar>
          </w:tcPr>
          <w:p>
            <w:pPr>
              <w:jc w:val="left"/>
            </w:pPr>
            <w:r>
              <w:rPr>
                <w:b/>
                <w:bCs/>
                <w:color w:val="FFFFFF"/>
                <w:sz w:val="20"/>
                <w:szCs w:val="20"/>
              </w:rPr>
              <w:t xml:space="preserve">Composant</w:t>
            </w:r>
          </w:p>
        </w:tc>
        <w:tc>
          <w:tcPr>
            <w:tcW w:type="dxa" w:w="1400"/>
            <w:shd w:fill="1F4E79" w:color="auto" w:val="clear"/>
            <w:tcMar>
              <w:top w:type="dxa" w:w="40"/>
              <w:left w:type="dxa" w:w="80"/>
              <w:bottom w:type="dxa" w:w="40"/>
              <w:right w:type="dxa" w:w="80"/>
            </w:tcMar>
          </w:tcPr>
          <w:p>
            <w:pPr>
              <w:jc w:val="left"/>
            </w:pPr>
            <w:r>
              <w:rPr>
                <w:b/>
                <w:bCs/>
                <w:color w:val="FFFFFF"/>
                <w:sz w:val="20"/>
                <w:szCs w:val="20"/>
              </w:rPr>
              <w:t xml:space="preserve">Complexité</w:t>
            </w:r>
          </w:p>
        </w:tc>
        <w:tc>
          <w:tcPr>
            <w:tcW w:type="dxa" w:w="1900"/>
            <w:shd w:fill="1F4E79" w:color="auto" w:val="clear"/>
            <w:tcMar>
              <w:top w:type="dxa" w:w="40"/>
              <w:left w:type="dxa" w:w="80"/>
              <w:bottom w:type="dxa" w:w="40"/>
              <w:right w:type="dxa" w:w="80"/>
            </w:tcMar>
          </w:tcPr>
          <w:p>
            <w:pPr>
              <w:jc w:val="left"/>
            </w:pPr>
            <w:r>
              <w:rPr>
                <w:b/>
                <w:bCs/>
                <w:color w:val="FFFFFF"/>
                <w:sz w:val="20"/>
                <w:szCs w:val="20"/>
              </w:rPr>
              <w:t xml:space="preserve">Maturité des briques</w:t>
            </w:r>
          </w:p>
        </w:tc>
        <w:tc>
          <w:tcPr>
            <w:tcW w:type="dxa" w:w="3100"/>
            <w:shd w:fill="1F4E79" w:color="auto" w:val="clear"/>
            <w:tcMar>
              <w:top w:type="dxa" w:w="40"/>
              <w:left w:type="dxa" w:w="80"/>
              <w:bottom w:type="dxa" w:w="40"/>
              <w:right w:type="dxa" w:w="80"/>
            </w:tcMar>
          </w:tcPr>
          <w:p>
            <w:pPr>
              <w:jc w:val="left"/>
            </w:pPr>
            <w:r>
              <w:rPr>
                <w:b/>
                <w:bCs/>
                <w:color w:val="FFFFFF"/>
                <w:sz w:val="20"/>
                <w:szCs w:val="20"/>
              </w:rPr>
              <w:t xml:space="preserve">Commentaire</w:t>
            </w:r>
          </w:p>
        </w:tc>
      </w:tr>
      <w:tr>
        <w:tc>
          <w:tcPr>
            <w:tcW w:type="dxa" w:w="2600"/>
            <w:tcMar>
              <w:top w:type="dxa" w:w="40"/>
              <w:left w:type="dxa" w:w="80"/>
              <w:bottom w:type="dxa" w:w="40"/>
              <w:right w:type="dxa" w:w="80"/>
            </w:tcMar>
          </w:tcPr>
          <w:p>
            <w:pPr>
              <w:jc w:val="left"/>
            </w:pPr>
            <w:r>
              <w:rPr>
                <w:b w:val="false"/>
                <w:bCs w:val="false"/>
                <w:sz w:val="20"/>
                <w:szCs w:val="20"/>
              </w:rPr>
              <w:t xml:space="preserve">Échantillonnage vidéo</w:t>
            </w:r>
          </w:p>
        </w:tc>
        <w:tc>
          <w:tcPr>
            <w:tcW w:type="dxa" w:w="1400"/>
            <w:tcMar>
              <w:top w:type="dxa" w:w="40"/>
              <w:left w:type="dxa" w:w="80"/>
              <w:bottom w:type="dxa" w:w="40"/>
              <w:right w:type="dxa" w:w="80"/>
            </w:tcMar>
          </w:tcPr>
          <w:p>
            <w:pPr>
              <w:jc w:val="left"/>
            </w:pPr>
            <w:r>
              <w:rPr>
                <w:b w:val="false"/>
                <w:bCs w:val="false"/>
                <w:sz w:val="20"/>
                <w:szCs w:val="20"/>
              </w:rPr>
              <w:t xml:space="preserve">Faible</w:t>
            </w:r>
          </w:p>
        </w:tc>
        <w:tc>
          <w:tcPr>
            <w:tcW w:type="dxa" w:w="1900"/>
            <w:tcMar>
              <w:top w:type="dxa" w:w="40"/>
              <w:left w:type="dxa" w:w="80"/>
              <w:bottom w:type="dxa" w:w="40"/>
              <w:right w:type="dxa" w:w="80"/>
            </w:tcMar>
          </w:tcPr>
          <w:p>
            <w:pPr>
              <w:jc w:val="left"/>
            </w:pPr>
            <w:r>
              <w:rPr>
                <w:b w:val="false"/>
                <w:bCs w:val="false"/>
                <w:sz w:val="20"/>
                <w:szCs w:val="20"/>
              </w:rPr>
              <w:t xml:space="preserve">Élevée</w:t>
            </w:r>
          </w:p>
        </w:tc>
        <w:tc>
          <w:tcPr>
            <w:tcW w:type="dxa" w:w="3100"/>
            <w:tcMar>
              <w:top w:type="dxa" w:w="40"/>
              <w:left w:type="dxa" w:w="80"/>
              <w:bottom w:type="dxa" w:w="40"/>
              <w:right w:type="dxa" w:w="80"/>
            </w:tcMar>
          </w:tcPr>
          <w:p>
            <w:pPr>
              <w:jc w:val="left"/>
            </w:pPr>
            <w:r>
              <w:rPr>
                <w:b w:val="false"/>
                <w:bCs w:val="false"/>
                <w:sz w:val="20"/>
                <w:szCs w:val="20"/>
              </w:rPr>
              <w:t xml:space="preserve">OpenCV/FFmpeg standard.</w:t>
            </w:r>
          </w:p>
        </w:tc>
      </w:tr>
      <w:tr>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Détection d'échiquier</w:t>
            </w:r>
          </w:p>
        </w:tc>
        <w:tc>
          <w:tcPr>
            <w:tcW w:type="dxa" w:w="1400"/>
            <w:shd w:fill="F1F5F9" w:color="auto" w:val="clear"/>
            <w:tcMar>
              <w:top w:type="dxa" w:w="40"/>
              <w:left w:type="dxa" w:w="80"/>
              <w:bottom w:type="dxa" w:w="40"/>
              <w:right w:type="dxa" w:w="80"/>
            </w:tcMar>
          </w:tcPr>
          <w:p>
            <w:pPr>
              <w:jc w:val="left"/>
            </w:pPr>
            <w:r>
              <w:rPr>
                <w:b w:val="false"/>
                <w:bCs w:val="false"/>
                <w:sz w:val="20"/>
                <w:szCs w:val="20"/>
              </w:rPr>
              <w:t xml:space="preserve">Moyenne</w:t>
            </w:r>
          </w:p>
        </w:tc>
        <w:tc>
          <w:tcPr>
            <w:tcW w:type="dxa" w:w="1900"/>
            <w:shd w:fill="F1F5F9" w:color="auto" w:val="clear"/>
            <w:tcMar>
              <w:top w:type="dxa" w:w="40"/>
              <w:left w:type="dxa" w:w="80"/>
              <w:bottom w:type="dxa" w:w="40"/>
              <w:right w:type="dxa" w:w="80"/>
            </w:tcMar>
          </w:tcPr>
          <w:p>
            <w:pPr>
              <w:jc w:val="left"/>
            </w:pPr>
            <w:r>
              <w:rPr>
                <w:b w:val="false"/>
                <w:bCs w:val="false"/>
                <w:sz w:val="20"/>
                <w:szCs w:val="20"/>
              </w:rPr>
              <w:t xml:space="preserve">Bonne</w:t>
            </w:r>
          </w:p>
        </w:tc>
        <w:tc>
          <w:tcPr>
            <w:tcW w:type="dxa" w:w="3100"/>
            <w:shd w:fill="F1F5F9" w:color="auto" w:val="clear"/>
            <w:tcMar>
              <w:top w:type="dxa" w:w="40"/>
              <w:left w:type="dxa" w:w="80"/>
              <w:bottom w:type="dxa" w:w="40"/>
              <w:right w:type="dxa" w:w="80"/>
            </w:tcMar>
          </w:tcPr>
          <w:p>
            <w:pPr>
              <w:jc w:val="left"/>
            </w:pPr>
            <w:r>
              <w:rPr>
                <w:b w:val="false"/>
                <w:bCs w:val="false"/>
                <w:sz w:val="20"/>
                <w:szCs w:val="20"/>
              </w:rPr>
              <w:t xml:space="preserve">Simple en vue zénithale, difficile en perspective.</w:t>
            </w:r>
          </w:p>
        </w:tc>
      </w:tr>
      <w:tr>
        <w:tc>
          <w:tcPr>
            <w:tcW w:type="dxa" w:w="2600"/>
            <w:tcMar>
              <w:top w:type="dxa" w:w="40"/>
              <w:left w:type="dxa" w:w="80"/>
              <w:bottom w:type="dxa" w:w="40"/>
              <w:right w:type="dxa" w:w="80"/>
            </w:tcMar>
          </w:tcPr>
          <w:p>
            <w:pPr>
              <w:jc w:val="left"/>
            </w:pPr>
            <w:r>
              <w:rPr>
                <w:b w:val="false"/>
                <w:bCs w:val="false"/>
                <w:sz w:val="20"/>
                <w:szCs w:val="20"/>
              </w:rPr>
              <w:t xml:space="preserve">Rectification (homographie)</w:t>
            </w:r>
          </w:p>
        </w:tc>
        <w:tc>
          <w:tcPr>
            <w:tcW w:type="dxa" w:w="1400"/>
            <w:tcMar>
              <w:top w:type="dxa" w:w="40"/>
              <w:left w:type="dxa" w:w="80"/>
              <w:bottom w:type="dxa" w:w="40"/>
              <w:right w:type="dxa" w:w="80"/>
            </w:tcMar>
          </w:tcPr>
          <w:p>
            <w:pPr>
              <w:jc w:val="left"/>
            </w:pPr>
            <w:r>
              <w:rPr>
                <w:b w:val="false"/>
                <w:bCs w:val="false"/>
                <w:sz w:val="20"/>
                <w:szCs w:val="20"/>
              </w:rPr>
              <w:t xml:space="preserve">Faible</w:t>
            </w:r>
          </w:p>
        </w:tc>
        <w:tc>
          <w:tcPr>
            <w:tcW w:type="dxa" w:w="1900"/>
            <w:tcMar>
              <w:top w:type="dxa" w:w="40"/>
              <w:left w:type="dxa" w:w="80"/>
              <w:bottom w:type="dxa" w:w="40"/>
              <w:right w:type="dxa" w:w="80"/>
            </w:tcMar>
          </w:tcPr>
          <w:p>
            <w:pPr>
              <w:jc w:val="left"/>
            </w:pPr>
            <w:r>
              <w:rPr>
                <w:b w:val="false"/>
                <w:bCs w:val="false"/>
                <w:sz w:val="20"/>
                <w:szCs w:val="20"/>
              </w:rPr>
              <w:t xml:space="preserve">Élevée</w:t>
            </w:r>
          </w:p>
        </w:tc>
        <w:tc>
          <w:tcPr>
            <w:tcW w:type="dxa" w:w="3100"/>
            <w:tcMar>
              <w:top w:type="dxa" w:w="40"/>
              <w:left w:type="dxa" w:w="80"/>
              <w:bottom w:type="dxa" w:w="40"/>
              <w:right w:type="dxa" w:w="80"/>
            </w:tcMar>
          </w:tcPr>
          <w:p>
            <w:pPr>
              <w:jc w:val="left"/>
            </w:pPr>
            <w:r>
              <w:rPr>
                <w:b w:val="false"/>
                <w:bCs w:val="false"/>
                <w:sz w:val="20"/>
                <w:szCs w:val="20"/>
              </w:rPr>
              <w:t xml:space="preserve">Bien maîtrisée une fois les coins détectés.</w:t>
            </w:r>
          </w:p>
        </w:tc>
      </w:tr>
      <w:tr>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Reconnaissance des pièces</w:t>
            </w:r>
          </w:p>
        </w:tc>
        <w:tc>
          <w:tcPr>
            <w:tcW w:type="dxa" w:w="1400"/>
            <w:shd w:fill="F1F5F9" w:color="auto" w:val="clear"/>
            <w:tcMar>
              <w:top w:type="dxa" w:w="40"/>
              <w:left w:type="dxa" w:w="80"/>
              <w:bottom w:type="dxa" w:w="40"/>
              <w:right w:type="dxa" w:w="80"/>
            </w:tcMar>
          </w:tcPr>
          <w:p>
            <w:pPr>
              <w:jc w:val="left"/>
            </w:pPr>
            <w:r>
              <w:rPr>
                <w:b w:val="false"/>
                <w:bCs w:val="false"/>
                <w:sz w:val="20"/>
                <w:szCs w:val="20"/>
              </w:rPr>
              <w:t xml:space="preserve">Élevée</w:t>
            </w:r>
          </w:p>
        </w:tc>
        <w:tc>
          <w:tcPr>
            <w:tcW w:type="dxa" w:w="1900"/>
            <w:shd w:fill="F1F5F9" w:color="auto" w:val="clear"/>
            <w:tcMar>
              <w:top w:type="dxa" w:w="40"/>
              <w:left w:type="dxa" w:w="80"/>
              <w:bottom w:type="dxa" w:w="40"/>
              <w:right w:type="dxa" w:w="80"/>
            </w:tcMar>
          </w:tcPr>
          <w:p>
            <w:pPr>
              <w:jc w:val="left"/>
            </w:pPr>
            <w:r>
              <w:rPr>
                <w:b w:val="false"/>
                <w:bCs w:val="false"/>
                <w:sz w:val="20"/>
                <w:szCs w:val="20"/>
              </w:rPr>
              <w:t xml:space="preserve">Moyenne</w:t>
            </w:r>
          </w:p>
        </w:tc>
        <w:tc>
          <w:tcPr>
            <w:tcW w:type="dxa" w:w="3100"/>
            <w:shd w:fill="F1F5F9" w:color="auto" w:val="clear"/>
            <w:tcMar>
              <w:top w:type="dxa" w:w="40"/>
              <w:left w:type="dxa" w:w="80"/>
              <w:bottom w:type="dxa" w:w="40"/>
              <w:right w:type="dxa" w:w="80"/>
            </w:tcMar>
          </w:tcPr>
          <w:p>
            <w:pPr>
              <w:jc w:val="left"/>
            </w:pPr>
            <w:r>
              <w:rPr>
                <w:b w:val="false"/>
                <w:bCs w:val="false"/>
                <w:sz w:val="20"/>
                <w:szCs w:val="20"/>
              </w:rPr>
              <w:t xml:space="preserve">Dépend du style de pièces et de l'angle ; nécessite données.</w:t>
            </w:r>
          </w:p>
        </w:tc>
      </w:tr>
      <w:tr>
        <w:tc>
          <w:tcPr>
            <w:tcW w:type="dxa" w:w="2600"/>
            <w:tcMar>
              <w:top w:type="dxa" w:w="40"/>
              <w:left w:type="dxa" w:w="80"/>
              <w:bottom w:type="dxa" w:w="40"/>
              <w:right w:type="dxa" w:w="80"/>
            </w:tcMar>
          </w:tcPr>
          <w:p>
            <w:pPr>
              <w:jc w:val="left"/>
            </w:pPr>
            <w:r>
              <w:rPr>
                <w:b w:val="false"/>
                <w:bCs w:val="false"/>
                <w:sz w:val="20"/>
                <w:szCs w:val="20"/>
              </w:rPr>
              <w:t xml:space="preserve">Reconstruction / validation FEN</w:t>
            </w:r>
          </w:p>
        </w:tc>
        <w:tc>
          <w:tcPr>
            <w:tcW w:type="dxa" w:w="1400"/>
            <w:tcMar>
              <w:top w:type="dxa" w:w="40"/>
              <w:left w:type="dxa" w:w="80"/>
              <w:bottom w:type="dxa" w:w="40"/>
              <w:right w:type="dxa" w:w="80"/>
            </w:tcMar>
          </w:tcPr>
          <w:p>
            <w:pPr>
              <w:jc w:val="left"/>
            </w:pPr>
            <w:r>
              <w:rPr>
                <w:b w:val="false"/>
                <w:bCs w:val="false"/>
                <w:sz w:val="20"/>
                <w:szCs w:val="20"/>
              </w:rPr>
              <w:t xml:space="preserve">Faible</w:t>
            </w:r>
          </w:p>
        </w:tc>
        <w:tc>
          <w:tcPr>
            <w:tcW w:type="dxa" w:w="1900"/>
            <w:tcMar>
              <w:top w:type="dxa" w:w="40"/>
              <w:left w:type="dxa" w:w="80"/>
              <w:bottom w:type="dxa" w:w="40"/>
              <w:right w:type="dxa" w:w="80"/>
            </w:tcMar>
          </w:tcPr>
          <w:p>
            <w:pPr>
              <w:jc w:val="left"/>
            </w:pPr>
            <w:r>
              <w:rPr>
                <w:b w:val="false"/>
                <w:bCs w:val="false"/>
                <w:sz w:val="20"/>
                <w:szCs w:val="20"/>
              </w:rPr>
              <w:t xml:space="preserve">Élevée</w:t>
            </w:r>
          </w:p>
        </w:tc>
        <w:tc>
          <w:tcPr>
            <w:tcW w:type="dxa" w:w="3100"/>
            <w:tcMar>
              <w:top w:type="dxa" w:w="40"/>
              <w:left w:type="dxa" w:w="80"/>
              <w:bottom w:type="dxa" w:w="40"/>
              <w:right w:type="dxa" w:w="80"/>
            </w:tcMar>
          </w:tcPr>
          <w:p>
            <w:pPr>
              <w:jc w:val="left"/>
            </w:pPr>
            <w:r>
              <w:rPr>
                <w:b w:val="false"/>
                <w:bCs w:val="false"/>
                <w:sz w:val="20"/>
                <w:szCs w:val="20"/>
              </w:rPr>
              <w:t xml:space="preserve">python-chess déjà en place.</w:t>
            </w:r>
          </w:p>
        </w:tc>
      </w:tr>
      <w:tr>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Serveur MCP + intégration</w:t>
            </w:r>
          </w:p>
        </w:tc>
        <w:tc>
          <w:tcPr>
            <w:tcW w:type="dxa" w:w="1400"/>
            <w:shd w:fill="F1F5F9" w:color="auto" w:val="clear"/>
            <w:tcMar>
              <w:top w:type="dxa" w:w="40"/>
              <w:left w:type="dxa" w:w="80"/>
              <w:bottom w:type="dxa" w:w="40"/>
              <w:right w:type="dxa" w:w="80"/>
            </w:tcMar>
          </w:tcPr>
          <w:p>
            <w:pPr>
              <w:jc w:val="left"/>
            </w:pPr>
            <w:r>
              <w:rPr>
                <w:b w:val="false"/>
                <w:bCs w:val="false"/>
                <w:sz w:val="20"/>
                <w:szCs w:val="20"/>
              </w:rPr>
              <w:t xml:space="preserve">Moyenne</w:t>
            </w:r>
          </w:p>
        </w:tc>
        <w:tc>
          <w:tcPr>
            <w:tcW w:type="dxa" w:w="1900"/>
            <w:shd w:fill="F1F5F9" w:color="auto" w:val="clear"/>
            <w:tcMar>
              <w:top w:type="dxa" w:w="40"/>
              <w:left w:type="dxa" w:w="80"/>
              <w:bottom w:type="dxa" w:w="40"/>
              <w:right w:type="dxa" w:w="80"/>
            </w:tcMar>
          </w:tcPr>
          <w:p>
            <w:pPr>
              <w:jc w:val="left"/>
            </w:pPr>
            <w:r>
              <w:rPr>
                <w:b w:val="false"/>
                <w:bCs w:val="false"/>
                <w:sz w:val="20"/>
                <w:szCs w:val="20"/>
              </w:rPr>
              <w:t xml:space="preserve">Moyenne</w:t>
            </w:r>
          </w:p>
        </w:tc>
        <w:tc>
          <w:tcPr>
            <w:tcW w:type="dxa" w:w="3100"/>
            <w:shd w:fill="F1F5F9" w:color="auto" w:val="clear"/>
            <w:tcMar>
              <w:top w:type="dxa" w:w="40"/>
              <w:left w:type="dxa" w:w="80"/>
              <w:bottom w:type="dxa" w:w="40"/>
              <w:right w:type="dxa" w:w="80"/>
            </w:tcMar>
          </w:tcPr>
          <w:p>
            <w:pPr>
              <w:jc w:val="left"/>
            </w:pPr>
            <w:r>
              <w:rPr>
                <w:b w:val="false"/>
                <w:bCs w:val="false"/>
                <w:sz w:val="20"/>
                <w:szCs w:val="20"/>
              </w:rPr>
              <w:t xml:space="preserve">FastMCP jeune mais documenté.</w:t>
            </w:r>
          </w:p>
        </w:tc>
      </w:tr>
    </w:tbl>
    <w:p>
      <w:pPr>
        <w:pStyle w:val="Heading2"/>
        <w:spacing w:after="80" w:before="180"/>
      </w:pPr>
      <w:r>
        <w:t xml:space="preserve">6.2 Défis et précision attendue</w:t>
      </w:r>
    </w:p>
    <w:p>
      <w:pPr>
        <w:spacing w:after="120" w:line="276"/>
        <w:jc w:val="both"/>
      </w:pPr>
      <w:r>
        <w:rPr>
          <w:sz w:val="22"/>
          <w:szCs w:val="22"/>
        </w:rPr>
        <w:t xml:space="preserve">En conditions contrôlées (caméra fixe au-dessus du plateau, bon éclairage, jeu standard), une précision élevée par case est atteignable ; comme une position compte 64 cases, même une très bonne précision par case peut produire des erreurs sur la position complète, d'où l'importance de la validation par python-chess et d'un mécanisme de correction manuelle. En conditions réelles de tournoi (perspective, ombres, mains, pièces variées), la fiabilité chute et doit être compensée par des contraintes d'usage et une phase de collecte de données représentative.</w:t>
      </w:r>
    </w:p>
    <w:p>
      <w:pPr>
        <w:pStyle w:val="ListParagraph"/>
        <w:numPr>
          <w:ilvl w:val="0"/>
          <w:numId w:val="1"/>
        </w:numPr>
        <w:spacing w:after="60" w:line="264"/>
      </w:pPr>
      <w:r>
        <w:rPr>
          <w:sz w:val="22"/>
          <w:szCs w:val="22"/>
        </w:rPr>
        <w:t xml:space="preserve">Éclairage et ombres portées sur le plateau.</w:t>
      </w:r>
    </w:p>
    <w:p>
      <w:pPr>
        <w:pStyle w:val="ListParagraph"/>
        <w:numPr>
          <w:ilvl w:val="0"/>
          <w:numId w:val="1"/>
        </w:numPr>
        <w:spacing w:after="60" w:line="264"/>
      </w:pPr>
      <w:r>
        <w:rPr>
          <w:sz w:val="22"/>
          <w:szCs w:val="22"/>
        </w:rPr>
        <w:t xml:space="preserve">Angle de vue et perspective (occlusion des pièces entre elles).</w:t>
      </w:r>
    </w:p>
    <w:p>
      <w:pPr>
        <w:pStyle w:val="ListParagraph"/>
        <w:numPr>
          <w:ilvl w:val="0"/>
          <w:numId w:val="1"/>
        </w:numPr>
        <w:spacing w:after="60" w:line="264"/>
      </w:pPr>
      <w:r>
        <w:rPr>
          <w:sz w:val="22"/>
          <w:szCs w:val="22"/>
        </w:rPr>
        <w:t xml:space="preserve">Diversité des jeux de pièces (matériaux, tailles, styles).</w:t>
      </w:r>
    </w:p>
    <w:p>
      <w:pPr>
        <w:pStyle w:val="ListParagraph"/>
        <w:numPr>
          <w:ilvl w:val="0"/>
          <w:numId w:val="1"/>
        </w:numPr>
        <w:spacing w:after="60" w:line="264"/>
      </w:pPr>
      <w:r>
        <w:rPr>
          <w:sz w:val="22"/>
          <w:szCs w:val="22"/>
        </w:rPr>
        <w:t xml:space="preserve">Mains des joueurs masquant temporairement le plateau.</w:t>
      </w:r>
    </w:p>
    <w:p>
      <w:pPr>
        <w:pStyle w:val="ListParagraph"/>
        <w:numPr>
          <w:ilvl w:val="0"/>
          <w:numId w:val="1"/>
        </w:numPr>
        <w:spacing w:after="60" w:line="264"/>
      </w:pPr>
      <w:r>
        <w:rPr>
          <w:sz w:val="22"/>
          <w:szCs w:val="22"/>
        </w:rPr>
        <w:t xml:space="preserve">Détection du « bon moment » (coup terminé) dans un flux continu.</w:t>
      </w:r>
    </w:p>
    <w:p>
      <w:pPr>
        <w:pStyle w:val="Heading1"/>
        <w:spacing w:after="120" w:before="240"/>
      </w:pPr>
      <w:r>
        <w:t xml:space="preserve">7. Estimation des coûts</w:t>
      </w:r>
    </w:p>
    <w:p>
      <w:pPr>
        <w:spacing w:after="120" w:line="276"/>
        <w:jc w:val="both"/>
      </w:pPr>
      <w:r>
        <w:rPr>
          <w:sz w:val="22"/>
          <w:szCs w:val="22"/>
        </w:rPr>
        <w:t xml:space="preserve">Les estimations ci-dessous sont des ordres de grandeur, fondés sur des hypothèses explicites. Elles distinguent le coût de construction (build, ponctuel) et le coût d'exploitation (opex, récurrent). Toutes les briques logicielles envisagées sont open source (pas de coût de licence).</w:t>
      </w:r>
    </w:p>
    <w:p>
      <w:pPr>
        <w:pStyle w:val="Heading2"/>
        <w:spacing w:after="80" w:before="180"/>
      </w:pPr>
      <w:r>
        <w:t xml:space="preserve">7.1 Coût de construction (build / CAPEX)</w:t>
      </w:r>
    </w:p>
    <w:p>
      <w:pPr>
        <w:spacing w:after="120" w:line="276"/>
        <w:jc w:val="both"/>
      </w:pPr>
      <w:r>
        <w:rPr>
          <w:sz w:val="22"/>
          <w:szCs w:val="22"/>
        </w:rPr>
        <w:t xml:space="preserve">Hypothèse : un IA Engineer à un coût chargé d'environ 500 € / jour (fourchette 400–650 €). Réutilisation partielle de jeux de données ouverts pour limiter l'annotation.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1800"/>
        <w:gridCol w:w="2600"/>
      </w:tblGrid>
      <w:tr>
        <w:trPr>
          <w:tblHeader/>
        </w:trPr>
        <w:tc>
          <w:tcPr>
            <w:tcW w:type="dxa" w:w="4600"/>
            <w:shd w:fill="1F4E79" w:color="auto" w:val="clear"/>
            <w:tcMar>
              <w:top w:type="dxa" w:w="40"/>
              <w:left w:type="dxa" w:w="80"/>
              <w:bottom w:type="dxa" w:w="40"/>
              <w:right w:type="dxa" w:w="80"/>
            </w:tcMar>
          </w:tcPr>
          <w:p>
            <w:pPr>
              <w:jc w:val="left"/>
            </w:pPr>
            <w:r>
              <w:rPr>
                <w:b/>
                <w:bCs/>
                <w:color w:val="FFFFFF"/>
                <w:sz w:val="20"/>
                <w:szCs w:val="20"/>
              </w:rPr>
              <w:t xml:space="preserve">Poste</w:t>
            </w:r>
          </w:p>
        </w:tc>
        <w:tc>
          <w:tcPr>
            <w:tcW w:type="dxa" w:w="1800"/>
            <w:shd w:fill="1F4E79" w:color="auto" w:val="clear"/>
            <w:tcMar>
              <w:top w:type="dxa" w:w="40"/>
              <w:left w:type="dxa" w:w="80"/>
              <w:bottom w:type="dxa" w:w="40"/>
              <w:right w:type="dxa" w:w="80"/>
            </w:tcMar>
          </w:tcPr>
          <w:p>
            <w:pPr>
              <w:jc w:val="left"/>
            </w:pPr>
            <w:r>
              <w:rPr>
                <w:b/>
                <w:bCs/>
                <w:color w:val="FFFFFF"/>
                <w:sz w:val="20"/>
                <w:szCs w:val="20"/>
              </w:rPr>
              <w:t xml:space="preserve">Charge (j-h)</w:t>
            </w:r>
          </w:p>
        </w:tc>
        <w:tc>
          <w:tcPr>
            <w:tcW w:type="dxa" w:w="2600"/>
            <w:shd w:fill="1F4E79" w:color="auto" w:val="clear"/>
            <w:tcMar>
              <w:top w:type="dxa" w:w="40"/>
              <w:left w:type="dxa" w:w="80"/>
              <w:bottom w:type="dxa" w:w="40"/>
              <w:right w:type="dxa" w:w="80"/>
            </w:tcMar>
          </w:tcPr>
          <w:p>
            <w:pPr>
              <w:jc w:val="left"/>
            </w:pPr>
            <w:r>
              <w:rPr>
                <w:b/>
                <w:bCs/>
                <w:color w:val="FFFFFF"/>
                <w:sz w:val="20"/>
                <w:szCs w:val="20"/>
              </w:rPr>
              <w:t xml:space="preserve">Coût estimé (€)</w:t>
            </w:r>
          </w:p>
        </w:tc>
      </w:tr>
      <w:tr>
        <w:tc>
          <w:tcPr>
            <w:tcW w:type="dxa" w:w="4600"/>
            <w:tcMar>
              <w:top w:type="dxa" w:w="40"/>
              <w:left w:type="dxa" w:w="80"/>
              <w:bottom w:type="dxa" w:w="40"/>
              <w:right w:type="dxa" w:w="80"/>
            </w:tcMar>
          </w:tcPr>
          <w:p>
            <w:pPr>
              <w:jc w:val="left"/>
            </w:pPr>
            <w:r>
              <w:rPr>
                <w:b w:val="false"/>
                <w:bCs w:val="false"/>
                <w:sz w:val="20"/>
                <w:szCs w:val="20"/>
              </w:rPr>
              <w:t xml:space="preserve">Cadrage, état de l'art, POC de détection</w:t>
            </w:r>
          </w:p>
        </w:tc>
        <w:tc>
          <w:tcPr>
            <w:tcW w:type="dxa" w:w="1800"/>
            <w:tcMar>
              <w:top w:type="dxa" w:w="40"/>
              <w:left w:type="dxa" w:w="80"/>
              <w:bottom w:type="dxa" w:w="40"/>
              <w:right w:type="dxa" w:w="80"/>
            </w:tcMar>
          </w:tcPr>
          <w:p>
            <w:pPr>
              <w:jc w:val="left"/>
            </w:pPr>
            <w:r>
              <w:rPr>
                <w:b w:val="false"/>
                <w:bCs w:val="false"/>
                <w:sz w:val="20"/>
                <w:szCs w:val="20"/>
              </w:rPr>
              <w:t xml:space="preserve">15</w:t>
            </w:r>
          </w:p>
        </w:tc>
        <w:tc>
          <w:tcPr>
            <w:tcW w:type="dxa" w:w="2600"/>
            <w:tcMar>
              <w:top w:type="dxa" w:w="40"/>
              <w:left w:type="dxa" w:w="80"/>
              <w:bottom w:type="dxa" w:w="40"/>
              <w:right w:type="dxa" w:w="80"/>
            </w:tcMar>
          </w:tcPr>
          <w:p>
            <w:pPr>
              <w:jc w:val="left"/>
            </w:pPr>
            <w:r>
              <w:rPr>
                <w:b w:val="false"/>
                <w:bCs w:val="false"/>
                <w:sz w:val="20"/>
                <w:szCs w:val="20"/>
              </w:rPr>
              <w:t xml:space="preserve">7 500</w:t>
            </w:r>
          </w:p>
        </w:tc>
      </w:tr>
      <w:tr>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Données : collecte / annotation / adaptation</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12</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6 000</w:t>
            </w:r>
          </w:p>
        </w:tc>
      </w:tr>
      <w:tr>
        <w:tc>
          <w:tcPr>
            <w:tcW w:type="dxa" w:w="4600"/>
            <w:tcMar>
              <w:top w:type="dxa" w:w="40"/>
              <w:left w:type="dxa" w:w="80"/>
              <w:bottom w:type="dxa" w:w="40"/>
              <w:right w:type="dxa" w:w="80"/>
            </w:tcMar>
          </w:tcPr>
          <w:p>
            <w:pPr>
              <w:jc w:val="left"/>
            </w:pPr>
            <w:r>
              <w:rPr>
                <w:b w:val="false"/>
                <w:bCs w:val="false"/>
                <w:sz w:val="20"/>
                <w:szCs w:val="20"/>
              </w:rPr>
              <w:t xml:space="preserve">Entraînement &amp; évaluation des modèles</w:t>
            </w:r>
          </w:p>
        </w:tc>
        <w:tc>
          <w:tcPr>
            <w:tcW w:type="dxa" w:w="1800"/>
            <w:tcMar>
              <w:top w:type="dxa" w:w="40"/>
              <w:left w:type="dxa" w:w="80"/>
              <w:bottom w:type="dxa" w:w="40"/>
              <w:right w:type="dxa" w:w="80"/>
            </w:tcMar>
          </w:tcPr>
          <w:p>
            <w:pPr>
              <w:jc w:val="left"/>
            </w:pPr>
            <w:r>
              <w:rPr>
                <w:b w:val="false"/>
                <w:bCs w:val="false"/>
                <w:sz w:val="20"/>
                <w:szCs w:val="20"/>
              </w:rPr>
              <w:t xml:space="preserve">18</w:t>
            </w:r>
          </w:p>
        </w:tc>
        <w:tc>
          <w:tcPr>
            <w:tcW w:type="dxa" w:w="2600"/>
            <w:tcMar>
              <w:top w:type="dxa" w:w="40"/>
              <w:left w:type="dxa" w:w="80"/>
              <w:bottom w:type="dxa" w:w="40"/>
              <w:right w:type="dxa" w:w="80"/>
            </w:tcMar>
          </w:tcPr>
          <w:p>
            <w:pPr>
              <w:jc w:val="left"/>
            </w:pPr>
            <w:r>
              <w:rPr>
                <w:b w:val="false"/>
                <w:bCs w:val="false"/>
                <w:sz w:val="20"/>
                <w:szCs w:val="20"/>
              </w:rPr>
              <w:t xml:space="preserve">9 000</w:t>
            </w:r>
          </w:p>
        </w:tc>
      </w:tr>
      <w:tr>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Serveur MCP Vision + pipeline FEN (FastMCP)</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12</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6 000</w:t>
            </w:r>
          </w:p>
        </w:tc>
      </w:tr>
      <w:tr>
        <w:tc>
          <w:tcPr>
            <w:tcW w:type="dxa" w:w="4600"/>
            <w:tcMar>
              <w:top w:type="dxa" w:w="40"/>
              <w:left w:type="dxa" w:w="80"/>
              <w:bottom w:type="dxa" w:w="40"/>
              <w:right w:type="dxa" w:w="80"/>
            </w:tcMar>
          </w:tcPr>
          <w:p>
            <w:pPr>
              <w:jc w:val="left"/>
            </w:pPr>
            <w:r>
              <w:rPr>
                <w:b w:val="false"/>
                <w:bCs w:val="false"/>
                <w:sz w:val="20"/>
                <w:szCs w:val="20"/>
              </w:rPr>
              <w:t xml:space="preserve">Intégration agent LangGraph + front (webcam)</w:t>
            </w:r>
          </w:p>
        </w:tc>
        <w:tc>
          <w:tcPr>
            <w:tcW w:type="dxa" w:w="1800"/>
            <w:tcMar>
              <w:top w:type="dxa" w:w="40"/>
              <w:left w:type="dxa" w:w="80"/>
              <w:bottom w:type="dxa" w:w="40"/>
              <w:right w:type="dxa" w:w="80"/>
            </w:tcMar>
          </w:tcPr>
          <w:p>
            <w:pPr>
              <w:jc w:val="left"/>
            </w:pPr>
            <w:r>
              <w:rPr>
                <w:b w:val="false"/>
                <w:bCs w:val="false"/>
                <w:sz w:val="20"/>
                <w:szCs w:val="20"/>
              </w:rPr>
              <w:t xml:space="preserve">10</w:t>
            </w:r>
          </w:p>
        </w:tc>
        <w:tc>
          <w:tcPr>
            <w:tcW w:type="dxa" w:w="2600"/>
            <w:tcMar>
              <w:top w:type="dxa" w:w="40"/>
              <w:left w:type="dxa" w:w="80"/>
              <w:bottom w:type="dxa" w:w="40"/>
              <w:right w:type="dxa" w:w="80"/>
            </w:tcMar>
          </w:tcPr>
          <w:p>
            <w:pPr>
              <w:jc w:val="left"/>
            </w:pPr>
            <w:r>
              <w:rPr>
                <w:b w:val="false"/>
                <w:bCs w:val="false"/>
                <w:sz w:val="20"/>
                <w:szCs w:val="20"/>
              </w:rPr>
              <w:t xml:space="preserve">5 000</w:t>
            </w:r>
          </w:p>
        </w:tc>
      </w:tr>
      <w:tr>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Tests, robustesse, RGPD, documentation</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13</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6 500</w:t>
            </w:r>
          </w:p>
        </w:tc>
      </w:tr>
      <w:tr>
        <w:tc>
          <w:tcPr>
            <w:tcW w:type="dxa" w:w="4600"/>
            <w:tcMar>
              <w:top w:type="dxa" w:w="40"/>
              <w:left w:type="dxa" w:w="80"/>
              <w:bottom w:type="dxa" w:w="40"/>
              <w:right w:type="dxa" w:w="80"/>
            </w:tcMar>
          </w:tcPr>
          <w:p>
            <w:pPr>
              <w:jc w:val="left"/>
            </w:pPr>
            <w:r>
              <w:rPr>
                <w:b w:val="false"/>
                <w:bCs w:val="false"/>
                <w:sz w:val="20"/>
                <w:szCs w:val="20"/>
              </w:rPr>
              <w:t xml:space="preserve">Sous-total effort</w:t>
            </w:r>
          </w:p>
        </w:tc>
        <w:tc>
          <w:tcPr>
            <w:tcW w:type="dxa" w:w="1800"/>
            <w:tcMar>
              <w:top w:type="dxa" w:w="40"/>
              <w:left w:type="dxa" w:w="80"/>
              <w:bottom w:type="dxa" w:w="40"/>
              <w:right w:type="dxa" w:w="80"/>
            </w:tcMar>
          </w:tcPr>
          <w:p>
            <w:pPr>
              <w:jc w:val="left"/>
            </w:pPr>
            <w:r>
              <w:rPr>
                <w:b w:val="false"/>
                <w:bCs w:val="false"/>
                <w:sz w:val="20"/>
                <w:szCs w:val="20"/>
              </w:rPr>
              <w:t xml:space="preserve">80</w:t>
            </w:r>
          </w:p>
        </w:tc>
        <w:tc>
          <w:tcPr>
            <w:tcW w:type="dxa" w:w="2600"/>
            <w:tcMar>
              <w:top w:type="dxa" w:w="40"/>
              <w:left w:type="dxa" w:w="80"/>
              <w:bottom w:type="dxa" w:w="40"/>
              <w:right w:type="dxa" w:w="80"/>
            </w:tcMar>
          </w:tcPr>
          <w:p>
            <w:pPr>
              <w:jc w:val="left"/>
            </w:pPr>
            <w:r>
              <w:rPr>
                <w:b w:val="false"/>
                <w:bCs w:val="false"/>
                <w:sz w:val="20"/>
                <w:szCs w:val="20"/>
              </w:rPr>
              <w:t xml:space="preserve">40 000</w:t>
            </w:r>
          </w:p>
        </w:tc>
      </w:tr>
      <w:tr>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GPU cloud d'entraînement (~100–200 h)</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150 – 300</w:t>
            </w:r>
          </w:p>
        </w:tc>
      </w:tr>
      <w:tr>
        <w:tc>
          <w:tcPr>
            <w:tcW w:type="dxa" w:w="4600"/>
            <w:tcMar>
              <w:top w:type="dxa" w:w="40"/>
              <w:left w:type="dxa" w:w="80"/>
              <w:bottom w:type="dxa" w:w="40"/>
              <w:right w:type="dxa" w:w="80"/>
            </w:tcMar>
          </w:tcPr>
          <w:p>
            <w:pPr>
              <w:jc w:val="left"/>
            </w:pPr>
            <w:r>
              <w:rPr>
                <w:b w:val="false"/>
                <w:bCs w:val="false"/>
                <w:sz w:val="20"/>
                <w:szCs w:val="20"/>
              </w:rPr>
              <w:t xml:space="preserve">Annotation externalisée éventuelle</w:t>
            </w:r>
          </w:p>
        </w:tc>
        <w:tc>
          <w:tcPr>
            <w:tcW w:type="dxa" w:w="1800"/>
            <w:tcMar>
              <w:top w:type="dxa" w:w="40"/>
              <w:left w:type="dxa" w:w="80"/>
              <w:bottom w:type="dxa" w:w="40"/>
              <w:right w:type="dxa" w:w="80"/>
            </w:tcMar>
          </w:tcPr>
          <w:p>
            <w:pPr>
              <w:jc w:val="left"/>
            </w:pPr>
            <w:r>
              <w:rPr>
                <w:b w:val="false"/>
                <w:bCs w:val="false"/>
                <w:sz w:val="20"/>
                <w:szCs w:val="20"/>
              </w:rPr>
              <w:t xml:space="preserve">—</w:t>
            </w:r>
          </w:p>
        </w:tc>
        <w:tc>
          <w:tcPr>
            <w:tcW w:type="dxa" w:w="2600"/>
            <w:tcMar>
              <w:top w:type="dxa" w:w="40"/>
              <w:left w:type="dxa" w:w="80"/>
              <w:bottom w:type="dxa" w:w="40"/>
              <w:right w:type="dxa" w:w="80"/>
            </w:tcMar>
          </w:tcPr>
          <w:p>
            <w:pPr>
              <w:jc w:val="left"/>
            </w:pPr>
            <w:r>
              <w:rPr>
                <w:b w:val="false"/>
                <w:bCs w:val="false"/>
                <w:sz w:val="20"/>
                <w:szCs w:val="20"/>
              </w:rPr>
              <w:t xml:space="preserve">0 – 3 000</w:t>
            </w:r>
          </w:p>
        </w:tc>
      </w:tr>
      <w:tr>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TOTAL BUILD (fourchette réaliste)</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 80</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40 000 – 55 000</w:t>
            </w:r>
          </w:p>
        </w:tc>
      </w:tr>
    </w:tbl>
    <w:p>
      <w:pPr>
        <w:pStyle w:val="Heading2"/>
        <w:spacing w:after="80" w:before="180"/>
      </w:pPr>
      <w:r>
        <w:t xml:space="preserve">7.2 Coût d'exploitation (opex, mensuel)</w:t>
      </w:r>
    </w:p>
    <w:p>
      <w:pPr>
        <w:spacing w:after="120" w:line="276"/>
        <w:jc w:val="both"/>
      </w:pPr>
      <w:r>
        <w:rPr>
          <w:sz w:val="22"/>
          <w:szCs w:val="22"/>
        </w:rPr>
        <w:t xml:space="preserve">Hypothèse : phase pilote, quelques centaines de sessions par mois. Deux scénarios d'inférence sont présentés.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000"/>
        <w:gridCol w:w="3000"/>
      </w:tblGrid>
      <w:tr>
        <w:trPr>
          <w:tblHeader/>
        </w:trPr>
        <w:tc>
          <w:tcPr>
            <w:tcW w:type="dxa" w:w="3000"/>
            <w:shd w:fill="1F4E79" w:color="auto" w:val="clear"/>
            <w:tcMar>
              <w:top w:type="dxa" w:w="40"/>
              <w:left w:type="dxa" w:w="80"/>
              <w:bottom w:type="dxa" w:w="40"/>
              <w:right w:type="dxa" w:w="80"/>
            </w:tcMar>
          </w:tcPr>
          <w:p>
            <w:pPr>
              <w:jc w:val="left"/>
            </w:pPr>
            <w:r>
              <w:rPr>
                <w:b/>
                <w:bCs/>
                <w:color w:val="FFFFFF"/>
                <w:sz w:val="20"/>
                <w:szCs w:val="20"/>
              </w:rPr>
              <w:t xml:space="preserve">Poste</w:t>
            </w:r>
          </w:p>
        </w:tc>
        <w:tc>
          <w:tcPr>
            <w:tcW w:type="dxa" w:w="3000"/>
            <w:shd w:fill="1F4E79" w:color="auto" w:val="clear"/>
            <w:tcMar>
              <w:top w:type="dxa" w:w="40"/>
              <w:left w:type="dxa" w:w="80"/>
              <w:bottom w:type="dxa" w:w="40"/>
              <w:right w:type="dxa" w:w="80"/>
            </w:tcMar>
          </w:tcPr>
          <w:p>
            <w:pPr>
              <w:jc w:val="left"/>
            </w:pPr>
            <w:r>
              <w:rPr>
                <w:b/>
                <w:bCs/>
                <w:color w:val="FFFFFF"/>
                <w:sz w:val="20"/>
                <w:szCs w:val="20"/>
              </w:rPr>
              <w:t xml:space="preserve">Scénario pilote (CPU / GPU à la demande)</w:t>
            </w:r>
          </w:p>
        </w:tc>
        <w:tc>
          <w:tcPr>
            <w:tcW w:type="dxa" w:w="3000"/>
            <w:shd w:fill="1F4E79" w:color="auto" w:val="clear"/>
            <w:tcMar>
              <w:top w:type="dxa" w:w="40"/>
              <w:left w:type="dxa" w:w="80"/>
              <w:bottom w:type="dxa" w:w="40"/>
              <w:right w:type="dxa" w:w="80"/>
            </w:tcMar>
          </w:tcPr>
          <w:p>
            <w:pPr>
              <w:jc w:val="left"/>
            </w:pPr>
            <w:r>
              <w:rPr>
                <w:b/>
                <w:bCs/>
                <w:color w:val="FFFFFF"/>
                <w:sz w:val="20"/>
                <w:szCs w:val="20"/>
              </w:rPr>
              <w:t xml:space="preserve">Scénario temps réel (GPU permanent)</w:t>
            </w:r>
          </w:p>
        </w:tc>
      </w:tr>
      <w:tr>
        <w:tc>
          <w:tcPr>
            <w:tcW w:type="dxa" w:w="3000"/>
            <w:tcMar>
              <w:top w:type="dxa" w:w="40"/>
              <w:left w:type="dxa" w:w="80"/>
              <w:bottom w:type="dxa" w:w="40"/>
              <w:right w:type="dxa" w:w="80"/>
            </w:tcMar>
          </w:tcPr>
          <w:p>
            <w:pPr>
              <w:jc w:val="left"/>
            </w:pPr>
            <w:r>
              <w:rPr>
                <w:b w:val="false"/>
                <w:bCs w:val="false"/>
                <w:sz w:val="20"/>
                <w:szCs w:val="20"/>
              </w:rPr>
              <w:t xml:space="preserve">Calcul d'inférence</w:t>
            </w:r>
          </w:p>
        </w:tc>
        <w:tc>
          <w:tcPr>
            <w:tcW w:type="dxa" w:w="3000"/>
            <w:tcMar>
              <w:top w:type="dxa" w:w="40"/>
              <w:left w:type="dxa" w:w="80"/>
              <w:bottom w:type="dxa" w:w="40"/>
              <w:right w:type="dxa" w:w="80"/>
            </w:tcMar>
          </w:tcPr>
          <w:p>
            <w:pPr>
              <w:jc w:val="left"/>
            </w:pPr>
            <w:r>
              <w:rPr>
                <w:b w:val="false"/>
                <w:bCs w:val="false"/>
                <w:sz w:val="20"/>
                <w:szCs w:val="20"/>
              </w:rPr>
              <w:t xml:space="preserve">25 – 100 € (GPU à la demande) ou VPS CPU 30–80 €</w:t>
            </w:r>
          </w:p>
        </w:tc>
        <w:tc>
          <w:tcPr>
            <w:tcW w:type="dxa" w:w="3000"/>
            <w:tcMar>
              <w:top w:type="dxa" w:w="40"/>
              <w:left w:type="dxa" w:w="80"/>
              <w:bottom w:type="dxa" w:w="40"/>
              <w:right w:type="dxa" w:w="80"/>
            </w:tcMar>
          </w:tcPr>
          <w:p>
            <w:pPr>
              <w:jc w:val="left"/>
            </w:pPr>
            <w:r>
              <w:rPr>
                <w:b w:val="false"/>
                <w:bCs w:val="false"/>
                <w:sz w:val="20"/>
                <w:szCs w:val="20"/>
              </w:rPr>
              <w:t xml:space="preserve">350 – 700 € (instance GPU allumée)</w:t>
            </w:r>
          </w:p>
        </w:tc>
      </w:tr>
      <w:tr>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Stockage objet (trames / vidéos)</w:t>
            </w:r>
          </w:p>
        </w:tc>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1 – 5 €</w:t>
            </w:r>
          </w:p>
        </w:tc>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5 – 20 €</w:t>
            </w:r>
          </w:p>
        </w:tc>
      </w:tr>
      <w:tr>
        <w:tc>
          <w:tcPr>
            <w:tcW w:type="dxa" w:w="3000"/>
            <w:tcMar>
              <w:top w:type="dxa" w:w="40"/>
              <w:left w:type="dxa" w:w="80"/>
              <w:bottom w:type="dxa" w:w="40"/>
              <w:right w:type="dxa" w:w="80"/>
            </w:tcMar>
          </w:tcPr>
          <w:p>
            <w:pPr>
              <w:jc w:val="left"/>
            </w:pPr>
            <w:r>
              <w:rPr>
                <w:b w:val="false"/>
                <w:bCs w:val="false"/>
                <w:sz w:val="20"/>
                <w:szCs w:val="20"/>
              </w:rPr>
              <w:t xml:space="preserve">Bases (MongoDB / Milvus)</w:t>
            </w:r>
          </w:p>
        </w:tc>
        <w:tc>
          <w:tcPr>
            <w:tcW w:type="dxa" w:w="3000"/>
            <w:tcMar>
              <w:top w:type="dxa" w:w="40"/>
              <w:left w:type="dxa" w:w="80"/>
              <w:bottom w:type="dxa" w:w="40"/>
              <w:right w:type="dxa" w:w="80"/>
            </w:tcMar>
          </w:tcPr>
          <w:p>
            <w:pPr>
              <w:jc w:val="left"/>
            </w:pPr>
            <w:r>
              <w:rPr>
                <w:b w:val="false"/>
                <w:bCs w:val="false"/>
                <w:sz w:val="20"/>
                <w:szCs w:val="20"/>
              </w:rPr>
              <w:t xml:space="preserve">0 – 50 € (conteneurs ou service géré)</w:t>
            </w:r>
          </w:p>
        </w:tc>
        <w:tc>
          <w:tcPr>
            <w:tcW w:type="dxa" w:w="3000"/>
            <w:tcMar>
              <w:top w:type="dxa" w:w="40"/>
              <w:left w:type="dxa" w:w="80"/>
              <w:bottom w:type="dxa" w:w="40"/>
              <w:right w:type="dxa" w:w="80"/>
            </w:tcMar>
          </w:tcPr>
          <w:p>
            <w:pPr>
              <w:jc w:val="left"/>
            </w:pPr>
            <w:r>
              <w:rPr>
                <w:b w:val="false"/>
                <w:bCs w:val="false"/>
                <w:sz w:val="20"/>
                <w:szCs w:val="20"/>
              </w:rPr>
              <w:t xml:space="preserve">50 – 150 €</w:t>
            </w:r>
          </w:p>
        </w:tc>
      </w:tr>
      <w:tr>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API YouTube Data v3</w:t>
            </w:r>
          </w:p>
        </w:tc>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0 € (dans le quota gratuit)</w:t>
            </w:r>
          </w:p>
        </w:tc>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0 € (quota à surveiller)</w:t>
            </w:r>
          </w:p>
        </w:tc>
      </w:tr>
      <w:tr>
        <w:tc>
          <w:tcPr>
            <w:tcW w:type="dxa" w:w="3000"/>
            <w:tcMar>
              <w:top w:type="dxa" w:w="40"/>
              <w:left w:type="dxa" w:w="80"/>
              <w:bottom w:type="dxa" w:w="40"/>
              <w:right w:type="dxa" w:w="80"/>
            </w:tcMar>
          </w:tcPr>
          <w:p>
            <w:pPr>
              <w:jc w:val="left"/>
            </w:pPr>
            <w:r>
              <w:rPr>
                <w:b w:val="false"/>
                <w:bCs w:val="false"/>
                <w:sz w:val="20"/>
                <w:szCs w:val="20"/>
              </w:rPr>
              <w:t xml:space="preserve">LLM de synthèse (option)</w:t>
            </w:r>
          </w:p>
        </w:tc>
        <w:tc>
          <w:tcPr>
            <w:tcW w:type="dxa" w:w="3000"/>
            <w:tcMar>
              <w:top w:type="dxa" w:w="40"/>
              <w:left w:type="dxa" w:w="80"/>
              <w:bottom w:type="dxa" w:w="40"/>
              <w:right w:type="dxa" w:w="80"/>
            </w:tcMar>
          </w:tcPr>
          <w:p>
            <w:pPr>
              <w:jc w:val="left"/>
            </w:pPr>
            <w:r>
              <w:rPr>
                <w:b w:val="false"/>
                <w:bCs w:val="false"/>
                <w:sz w:val="20"/>
                <w:szCs w:val="20"/>
              </w:rPr>
              <w:t xml:space="preserve">0 – 30 € (selon volume)</w:t>
            </w:r>
          </w:p>
        </w:tc>
        <w:tc>
          <w:tcPr>
            <w:tcW w:type="dxa" w:w="3000"/>
            <w:tcMar>
              <w:top w:type="dxa" w:w="40"/>
              <w:left w:type="dxa" w:w="80"/>
              <w:bottom w:type="dxa" w:w="40"/>
              <w:right w:type="dxa" w:w="80"/>
            </w:tcMar>
          </w:tcPr>
          <w:p>
            <w:pPr>
              <w:jc w:val="left"/>
            </w:pPr>
            <w:r>
              <w:rPr>
                <w:b w:val="false"/>
                <w:bCs w:val="false"/>
                <w:sz w:val="20"/>
                <w:szCs w:val="20"/>
              </w:rPr>
              <w:t xml:space="preserve">30 – 150 €</w:t>
            </w:r>
          </w:p>
        </w:tc>
      </w:tr>
      <w:tr>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Supervision / bande passante</w:t>
            </w:r>
          </w:p>
        </w:tc>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20 – 50 €</w:t>
            </w:r>
          </w:p>
        </w:tc>
        <w:tc>
          <w:tcPr>
            <w:tcW w:type="dxa" w:w="3000"/>
            <w:shd w:fill="F1F5F9" w:color="auto" w:val="clear"/>
            <w:tcMar>
              <w:top w:type="dxa" w:w="40"/>
              <w:left w:type="dxa" w:w="80"/>
              <w:bottom w:type="dxa" w:w="40"/>
              <w:right w:type="dxa" w:w="80"/>
            </w:tcMar>
          </w:tcPr>
          <w:p>
            <w:pPr>
              <w:jc w:val="left"/>
            </w:pPr>
            <w:r>
              <w:rPr>
                <w:b w:val="false"/>
                <w:bCs w:val="false"/>
                <w:sz w:val="20"/>
                <w:szCs w:val="20"/>
              </w:rPr>
              <w:t xml:space="preserve">50 – 100 €</w:t>
            </w:r>
          </w:p>
        </w:tc>
      </w:tr>
      <w:tr>
        <w:tc>
          <w:tcPr>
            <w:tcW w:type="dxa" w:w="3000"/>
            <w:tcMar>
              <w:top w:type="dxa" w:w="40"/>
              <w:left w:type="dxa" w:w="80"/>
              <w:bottom w:type="dxa" w:w="40"/>
              <w:right w:type="dxa" w:w="80"/>
            </w:tcMar>
          </w:tcPr>
          <w:p>
            <w:pPr>
              <w:jc w:val="left"/>
            </w:pPr>
            <w:r>
              <w:rPr>
                <w:b w:val="false"/>
                <w:bCs w:val="false"/>
                <w:sz w:val="20"/>
                <w:szCs w:val="20"/>
              </w:rPr>
              <w:t xml:space="preserve">TOTAL OPEX / mois</w:t>
            </w:r>
          </w:p>
        </w:tc>
        <w:tc>
          <w:tcPr>
            <w:tcW w:type="dxa" w:w="3000"/>
            <w:tcMar>
              <w:top w:type="dxa" w:w="40"/>
              <w:left w:type="dxa" w:w="80"/>
              <w:bottom w:type="dxa" w:w="40"/>
              <w:right w:type="dxa" w:w="80"/>
            </w:tcMar>
          </w:tcPr>
          <w:p>
            <w:pPr>
              <w:jc w:val="left"/>
            </w:pPr>
            <w:r>
              <w:rPr>
                <w:b w:val="false"/>
                <w:bCs w:val="false"/>
                <w:sz w:val="20"/>
                <w:szCs w:val="20"/>
              </w:rPr>
              <w:t xml:space="preserve">≈ 80 – 250 €</w:t>
            </w:r>
          </w:p>
        </w:tc>
        <w:tc>
          <w:tcPr>
            <w:tcW w:type="dxa" w:w="3000"/>
            <w:tcMar>
              <w:top w:type="dxa" w:w="40"/>
              <w:left w:type="dxa" w:w="80"/>
              <w:bottom w:type="dxa" w:w="40"/>
              <w:right w:type="dxa" w:w="80"/>
            </w:tcMar>
          </w:tcPr>
          <w:p>
            <w:pPr>
              <w:jc w:val="left"/>
            </w:pPr>
            <w:r>
              <w:rPr>
                <w:b w:val="false"/>
                <w:bCs w:val="false"/>
                <w:sz w:val="20"/>
                <w:szCs w:val="20"/>
              </w:rPr>
              <w:t xml:space="preserve">≈ 500 – 1 100 €</w:t>
            </w:r>
          </w:p>
        </w:tc>
      </w:tr>
    </w:tbl>
    <w:p>
      <w:pPr>
        <w:pStyle w:val="Heading2"/>
        <w:spacing w:after="80" w:before="180"/>
      </w:pPr>
      <w:r>
        <w:t xml:space="preserve">7.3 Sensibilité et hypothèses</w:t>
      </w:r>
    </w:p>
    <w:p>
      <w:pPr>
        <w:pStyle w:val="ListParagraph"/>
        <w:numPr>
          <w:ilvl w:val="0"/>
          <w:numId w:val="1"/>
        </w:numPr>
        <w:spacing w:after="60" w:line="264"/>
      </w:pPr>
      <w:r>
        <w:rPr>
          <w:sz w:val="22"/>
          <w:szCs w:val="22"/>
        </w:rPr>
        <w:t xml:space="preserve">Le poste dominant du build est l'effort humain ; toute réutilisation de modèles pré-entraînés le réduit directement.</w:t>
      </w:r>
    </w:p>
    <w:p>
      <w:pPr>
        <w:pStyle w:val="ListParagraph"/>
        <w:numPr>
          <w:ilvl w:val="0"/>
          <w:numId w:val="1"/>
        </w:numPr>
        <w:spacing w:after="60" w:line="264"/>
      </w:pPr>
      <w:r>
        <w:rPr>
          <w:sz w:val="22"/>
          <w:szCs w:val="22"/>
        </w:rPr>
        <w:t xml:space="preserve">Le poste dominant de l'opex est le calcul : la décision « temps réel permanent » vs « à la demande » change l'opex d'un facteur ~5.</w:t>
      </w:r>
    </w:p>
    <w:p>
      <w:pPr>
        <w:pStyle w:val="ListParagraph"/>
        <w:numPr>
          <w:ilvl w:val="0"/>
          <w:numId w:val="1"/>
        </w:numPr>
        <w:spacing w:after="60" w:line="264"/>
      </w:pPr>
      <w:r>
        <w:rPr>
          <w:sz w:val="22"/>
          <w:szCs w:val="22"/>
        </w:rPr>
        <w:t xml:space="preserve">Ne conserver que les FEN (et non les vidéos) réduit drastiquement le stockage et l'exposition RGPD.</w:t>
      </w:r>
    </w:p>
    <w:p>
      <w:pPr>
        <w:pStyle w:val="ListParagraph"/>
        <w:numPr>
          <w:ilvl w:val="0"/>
          <w:numId w:val="1"/>
        </w:numPr>
        <w:spacing w:after="60" w:line="264"/>
      </w:pPr>
      <w:r>
        <w:rPr>
          <w:sz w:val="22"/>
          <w:szCs w:val="22"/>
        </w:rPr>
        <w:t xml:space="preserve">Le traitement en périphérie (edge, sur la machine du club) peut ramener l'opex de calcul proche de zéro et améliorer la conformité.</w:t>
      </w:r>
    </w:p>
    <w:p>
      <w:pPr>
        <w:pStyle w:val="Heading1"/>
        <w:spacing w:after="120" w:before="240"/>
      </w:pPr>
      <w:r>
        <w:t xml:space="preserve">8. Risques et mesures de mitigation</w:t>
      </w:r>
    </w:p>
    <w:p>
      <w:pPr>
        <w:pStyle w:val="Heading2"/>
        <w:spacing w:after="80" w:before="180"/>
      </w:pPr>
      <w:r>
        <w:t xml:space="preserve">8.1 Risques techniques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1200"/>
        <w:gridCol w:w="4600"/>
      </w:tblGrid>
      <w:tr>
        <w:trPr>
          <w:tblHeader/>
        </w:trPr>
        <w:tc>
          <w:tcPr>
            <w:tcW w:type="dxa" w:w="3200"/>
            <w:shd w:fill="1F4E79" w:color="auto" w:val="clear"/>
            <w:tcMar>
              <w:top w:type="dxa" w:w="40"/>
              <w:left w:type="dxa" w:w="80"/>
              <w:bottom w:type="dxa" w:w="40"/>
              <w:right w:type="dxa" w:w="80"/>
            </w:tcMar>
          </w:tcPr>
          <w:p>
            <w:pPr>
              <w:jc w:val="left"/>
            </w:pPr>
            <w:r>
              <w:rPr>
                <w:b/>
                <w:bCs/>
                <w:color w:val="FFFFFF"/>
                <w:sz w:val="20"/>
                <w:szCs w:val="20"/>
              </w:rPr>
              <w:t xml:space="preserve">Risque</w:t>
            </w:r>
          </w:p>
        </w:tc>
        <w:tc>
          <w:tcPr>
            <w:tcW w:type="dxa" w:w="1200"/>
            <w:shd w:fill="1F4E79" w:color="auto" w:val="clear"/>
            <w:tcMar>
              <w:top w:type="dxa" w:w="40"/>
              <w:left w:type="dxa" w:w="80"/>
              <w:bottom w:type="dxa" w:w="40"/>
              <w:right w:type="dxa" w:w="80"/>
            </w:tcMar>
          </w:tcPr>
          <w:p>
            <w:pPr>
              <w:jc w:val="left"/>
            </w:pPr>
            <w:r>
              <w:rPr>
                <w:b/>
                <w:bCs/>
                <w:color w:val="FFFFFF"/>
                <w:sz w:val="20"/>
                <w:szCs w:val="20"/>
              </w:rPr>
              <w:t xml:space="preserve">Impact</w:t>
            </w:r>
          </w:p>
        </w:tc>
        <w:tc>
          <w:tcPr>
            <w:tcW w:type="dxa" w:w="4600"/>
            <w:shd w:fill="1F4E79" w:color="auto" w:val="clear"/>
            <w:tcMar>
              <w:top w:type="dxa" w:w="40"/>
              <w:left w:type="dxa" w:w="80"/>
              <w:bottom w:type="dxa" w:w="40"/>
              <w:right w:type="dxa" w:w="80"/>
            </w:tcMar>
          </w:tcPr>
          <w:p>
            <w:pPr>
              <w:jc w:val="left"/>
            </w:pPr>
            <w:r>
              <w:rPr>
                <w:b/>
                <w:bCs/>
                <w:color w:val="FFFFFF"/>
                <w:sz w:val="20"/>
                <w:szCs w:val="20"/>
              </w:rPr>
              <w:t xml:space="preserve">Mitigation</w:t>
            </w:r>
          </w:p>
        </w:tc>
      </w:tr>
      <w:tr>
        <w:tc>
          <w:tcPr>
            <w:tcW w:type="dxa" w:w="3200"/>
            <w:tcMar>
              <w:top w:type="dxa" w:w="40"/>
              <w:left w:type="dxa" w:w="80"/>
              <w:bottom w:type="dxa" w:w="40"/>
              <w:right w:type="dxa" w:w="80"/>
            </w:tcMar>
          </w:tcPr>
          <w:p>
            <w:pPr>
              <w:jc w:val="left"/>
            </w:pPr>
            <w:r>
              <w:rPr>
                <w:b w:val="false"/>
                <w:bCs w:val="false"/>
                <w:sz w:val="20"/>
                <w:szCs w:val="20"/>
              </w:rPr>
              <w:t xml:space="preserve">Précision insuffisante en conditions réelles</w:t>
            </w:r>
          </w:p>
        </w:tc>
        <w:tc>
          <w:tcPr>
            <w:tcW w:type="dxa" w:w="1200"/>
            <w:tcMar>
              <w:top w:type="dxa" w:w="40"/>
              <w:left w:type="dxa" w:w="80"/>
              <w:bottom w:type="dxa" w:w="40"/>
              <w:right w:type="dxa" w:w="80"/>
            </w:tcMar>
          </w:tcPr>
          <w:p>
            <w:pPr>
              <w:jc w:val="left"/>
            </w:pPr>
            <w:r>
              <w:rPr>
                <w:b w:val="false"/>
                <w:bCs w:val="false"/>
                <w:sz w:val="20"/>
                <w:szCs w:val="20"/>
              </w:rPr>
              <w:t xml:space="preserve">Élevé</w:t>
            </w:r>
          </w:p>
        </w:tc>
        <w:tc>
          <w:tcPr>
            <w:tcW w:type="dxa" w:w="4600"/>
            <w:tcMar>
              <w:top w:type="dxa" w:w="40"/>
              <w:left w:type="dxa" w:w="80"/>
              <w:bottom w:type="dxa" w:w="40"/>
              <w:right w:type="dxa" w:w="80"/>
            </w:tcMar>
          </w:tcPr>
          <w:p>
            <w:pPr>
              <w:jc w:val="left"/>
            </w:pPr>
            <w:r>
              <w:rPr>
                <w:b w:val="false"/>
                <w:bCs w:val="false"/>
                <w:sz w:val="20"/>
                <w:szCs w:val="20"/>
              </w:rPr>
              <w:t xml:space="preserve">Contraindre la prise de vue (vue zénithale), validation python-chess, correction manuelle assistée.</w:t>
            </w:r>
          </w:p>
        </w:tc>
      </w:tr>
      <w:tr>
        <w:tc>
          <w:tcPr>
            <w:tcW w:type="dxa" w:w="3200"/>
            <w:shd w:fill="F1F5F9" w:color="auto" w:val="clear"/>
            <w:tcMar>
              <w:top w:type="dxa" w:w="40"/>
              <w:left w:type="dxa" w:w="80"/>
              <w:bottom w:type="dxa" w:w="40"/>
              <w:right w:type="dxa" w:w="80"/>
            </w:tcMar>
          </w:tcPr>
          <w:p>
            <w:pPr>
              <w:jc w:val="left"/>
            </w:pPr>
            <w:r>
              <w:rPr>
                <w:b w:val="false"/>
                <w:bCs w:val="false"/>
                <w:sz w:val="20"/>
                <w:szCs w:val="20"/>
              </w:rPr>
              <w:t xml:space="preserve">Latence trop élevée pour le temps réel</w:t>
            </w:r>
          </w:p>
        </w:tc>
        <w:tc>
          <w:tcPr>
            <w:tcW w:type="dxa" w:w="1200"/>
            <w:shd w:fill="F1F5F9" w:color="auto" w:val="clear"/>
            <w:tcMar>
              <w:top w:type="dxa" w:w="40"/>
              <w:left w:type="dxa" w:w="80"/>
              <w:bottom w:type="dxa" w:w="40"/>
              <w:right w:type="dxa" w:w="80"/>
            </w:tcMar>
          </w:tcPr>
          <w:p>
            <w:pPr>
              <w:jc w:val="left"/>
            </w:pPr>
            <w:r>
              <w:rPr>
                <w:b w:val="false"/>
                <w:bCs w:val="false"/>
                <w:sz w:val="20"/>
                <w:szCs w:val="20"/>
              </w:rPr>
              <w:t xml:space="preserve">Moyen</w:t>
            </w:r>
          </w:p>
        </w:tc>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Échantillonnage intelligent, GPU à la demande, traitement edge.</w:t>
            </w:r>
          </w:p>
        </w:tc>
      </w:tr>
      <w:tr>
        <w:tc>
          <w:tcPr>
            <w:tcW w:type="dxa" w:w="3200"/>
            <w:tcMar>
              <w:top w:type="dxa" w:w="40"/>
              <w:left w:type="dxa" w:w="80"/>
              <w:bottom w:type="dxa" w:w="40"/>
              <w:right w:type="dxa" w:w="80"/>
            </w:tcMar>
          </w:tcPr>
          <w:p>
            <w:pPr>
              <w:jc w:val="left"/>
            </w:pPr>
            <w:r>
              <w:rPr>
                <w:b w:val="false"/>
                <w:bCs w:val="false"/>
                <w:sz w:val="20"/>
                <w:szCs w:val="20"/>
              </w:rPr>
              <w:t xml:space="preserve">Mauvaise généralisation (styles de pièces)</w:t>
            </w:r>
          </w:p>
        </w:tc>
        <w:tc>
          <w:tcPr>
            <w:tcW w:type="dxa" w:w="1200"/>
            <w:tcMar>
              <w:top w:type="dxa" w:w="40"/>
              <w:left w:type="dxa" w:w="80"/>
              <w:bottom w:type="dxa" w:w="40"/>
              <w:right w:type="dxa" w:w="80"/>
            </w:tcMar>
          </w:tcPr>
          <w:p>
            <w:pPr>
              <w:jc w:val="left"/>
            </w:pPr>
            <w:r>
              <w:rPr>
                <w:b w:val="false"/>
                <w:bCs w:val="false"/>
                <w:sz w:val="20"/>
                <w:szCs w:val="20"/>
              </w:rPr>
              <w:t xml:space="preserve">Élevé</w:t>
            </w:r>
          </w:p>
        </w:tc>
        <w:tc>
          <w:tcPr>
            <w:tcW w:type="dxa" w:w="4600"/>
            <w:tcMar>
              <w:top w:type="dxa" w:w="40"/>
              <w:left w:type="dxa" w:w="80"/>
              <w:bottom w:type="dxa" w:w="40"/>
              <w:right w:type="dxa" w:w="80"/>
            </w:tcMar>
          </w:tcPr>
          <w:p>
            <w:pPr>
              <w:jc w:val="left"/>
            </w:pPr>
            <w:r>
              <w:rPr>
                <w:b w:val="false"/>
                <w:bCs w:val="false"/>
                <w:sz w:val="20"/>
                <w:szCs w:val="20"/>
              </w:rPr>
              <w:t xml:space="preserve">Jeu de données varié, augmentation de données, ré-entraînement continu.</w:t>
            </w:r>
          </w:p>
        </w:tc>
      </w:tr>
      <w:tr>
        <w:tc>
          <w:tcPr>
            <w:tcW w:type="dxa" w:w="3200"/>
            <w:shd w:fill="F1F5F9" w:color="auto" w:val="clear"/>
            <w:tcMar>
              <w:top w:type="dxa" w:w="40"/>
              <w:left w:type="dxa" w:w="80"/>
              <w:bottom w:type="dxa" w:w="40"/>
              <w:right w:type="dxa" w:w="80"/>
            </w:tcMar>
          </w:tcPr>
          <w:p>
            <w:pPr>
              <w:jc w:val="left"/>
            </w:pPr>
            <w:r>
              <w:rPr>
                <w:b w:val="false"/>
                <w:bCs w:val="false"/>
                <w:sz w:val="20"/>
                <w:szCs w:val="20"/>
              </w:rPr>
              <w:t xml:space="preserve">Maturité de MCP / FastMCP</w:t>
            </w:r>
          </w:p>
        </w:tc>
        <w:tc>
          <w:tcPr>
            <w:tcW w:type="dxa" w:w="1200"/>
            <w:shd w:fill="F1F5F9" w:color="auto" w:val="clear"/>
            <w:tcMar>
              <w:top w:type="dxa" w:w="40"/>
              <w:left w:type="dxa" w:w="80"/>
              <w:bottom w:type="dxa" w:w="40"/>
              <w:right w:type="dxa" w:w="80"/>
            </w:tcMar>
          </w:tcPr>
          <w:p>
            <w:pPr>
              <w:jc w:val="left"/>
            </w:pPr>
            <w:r>
              <w:rPr>
                <w:b w:val="false"/>
                <w:bCs w:val="false"/>
                <w:sz w:val="20"/>
                <w:szCs w:val="20"/>
              </w:rPr>
              <w:t xml:space="preserve">Faible</w:t>
            </w:r>
          </w:p>
        </w:tc>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Démarrer par un seul serveur MCP, migration progressive.</w:t>
            </w:r>
          </w:p>
        </w:tc>
      </w:tr>
    </w:tbl>
    <w:p>
      <w:pPr>
        <w:pStyle w:val="Heading2"/>
        <w:spacing w:after="80" w:before="180"/>
      </w:pPr>
      <w:r>
        <w:t xml:space="preserve">8.2 Risques business et conformité</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1200"/>
        <w:gridCol w:w="4600"/>
      </w:tblGrid>
      <w:tr>
        <w:trPr>
          <w:tblHeader/>
        </w:trPr>
        <w:tc>
          <w:tcPr>
            <w:tcW w:type="dxa" w:w="3200"/>
            <w:shd w:fill="1F4E79" w:color="auto" w:val="clear"/>
            <w:tcMar>
              <w:top w:type="dxa" w:w="40"/>
              <w:left w:type="dxa" w:w="80"/>
              <w:bottom w:type="dxa" w:w="40"/>
              <w:right w:type="dxa" w:w="80"/>
            </w:tcMar>
          </w:tcPr>
          <w:p>
            <w:pPr>
              <w:jc w:val="left"/>
            </w:pPr>
            <w:r>
              <w:rPr>
                <w:b/>
                <w:bCs/>
                <w:color w:val="FFFFFF"/>
                <w:sz w:val="20"/>
                <w:szCs w:val="20"/>
              </w:rPr>
              <w:t xml:space="preserve">Risque</w:t>
            </w:r>
          </w:p>
        </w:tc>
        <w:tc>
          <w:tcPr>
            <w:tcW w:type="dxa" w:w="1200"/>
            <w:shd w:fill="1F4E79" w:color="auto" w:val="clear"/>
            <w:tcMar>
              <w:top w:type="dxa" w:w="40"/>
              <w:left w:type="dxa" w:w="80"/>
              <w:bottom w:type="dxa" w:w="40"/>
              <w:right w:type="dxa" w:w="80"/>
            </w:tcMar>
          </w:tcPr>
          <w:p>
            <w:pPr>
              <w:jc w:val="left"/>
            </w:pPr>
            <w:r>
              <w:rPr>
                <w:b/>
                <w:bCs/>
                <w:color w:val="FFFFFF"/>
                <w:sz w:val="20"/>
                <w:szCs w:val="20"/>
              </w:rPr>
              <w:t xml:space="preserve">Impact</w:t>
            </w:r>
          </w:p>
        </w:tc>
        <w:tc>
          <w:tcPr>
            <w:tcW w:type="dxa" w:w="4600"/>
            <w:shd w:fill="1F4E79" w:color="auto" w:val="clear"/>
            <w:tcMar>
              <w:top w:type="dxa" w:w="40"/>
              <w:left w:type="dxa" w:w="80"/>
              <w:bottom w:type="dxa" w:w="40"/>
              <w:right w:type="dxa" w:w="80"/>
            </w:tcMar>
          </w:tcPr>
          <w:p>
            <w:pPr>
              <w:jc w:val="left"/>
            </w:pPr>
            <w:r>
              <w:rPr>
                <w:b/>
                <w:bCs/>
                <w:color w:val="FFFFFF"/>
                <w:sz w:val="20"/>
                <w:szCs w:val="20"/>
              </w:rPr>
              <w:t xml:space="preserve">Mitigation</w:t>
            </w:r>
          </w:p>
        </w:tc>
      </w:tr>
      <w:tr>
        <w:tc>
          <w:tcPr>
            <w:tcW w:type="dxa" w:w="3200"/>
            <w:tcMar>
              <w:top w:type="dxa" w:w="40"/>
              <w:left w:type="dxa" w:w="80"/>
              <w:bottom w:type="dxa" w:w="40"/>
              <w:right w:type="dxa" w:w="80"/>
            </w:tcMar>
          </w:tcPr>
          <w:p>
            <w:pPr>
              <w:jc w:val="left"/>
            </w:pPr>
            <w:r>
              <w:rPr>
                <w:b w:val="false"/>
                <w:bCs w:val="false"/>
                <w:sz w:val="20"/>
                <w:szCs w:val="20"/>
              </w:rPr>
              <w:t xml:space="preserve">RGPD : captation vidéo de mineurs</w:t>
            </w:r>
          </w:p>
        </w:tc>
        <w:tc>
          <w:tcPr>
            <w:tcW w:type="dxa" w:w="1200"/>
            <w:tcMar>
              <w:top w:type="dxa" w:w="40"/>
              <w:left w:type="dxa" w:w="80"/>
              <w:bottom w:type="dxa" w:w="40"/>
              <w:right w:type="dxa" w:w="80"/>
            </w:tcMar>
          </w:tcPr>
          <w:p>
            <w:pPr>
              <w:jc w:val="left"/>
            </w:pPr>
            <w:r>
              <w:rPr>
                <w:b w:val="false"/>
                <w:bCs w:val="false"/>
                <w:sz w:val="20"/>
                <w:szCs w:val="20"/>
              </w:rPr>
              <w:t xml:space="preserve">Élevé</w:t>
            </w:r>
          </w:p>
        </w:tc>
        <w:tc>
          <w:tcPr>
            <w:tcW w:type="dxa" w:w="4600"/>
            <w:tcMar>
              <w:top w:type="dxa" w:w="40"/>
              <w:left w:type="dxa" w:w="80"/>
              <w:bottom w:type="dxa" w:w="40"/>
              <w:right w:type="dxa" w:w="80"/>
            </w:tcMar>
          </w:tcPr>
          <w:p>
            <w:pPr>
              <w:jc w:val="left"/>
            </w:pPr>
            <w:r>
              <w:rPr>
                <w:b w:val="false"/>
                <w:bCs w:val="false"/>
                <w:sz w:val="20"/>
                <w:szCs w:val="20"/>
              </w:rPr>
              <w:t xml:space="preserve">Consentement parental, minimisation (stocker le FEN, pas la vidéo), traitement local, information claire.</w:t>
            </w:r>
          </w:p>
        </w:tc>
      </w:tr>
      <w:tr>
        <w:tc>
          <w:tcPr>
            <w:tcW w:type="dxa" w:w="3200"/>
            <w:shd w:fill="F1F5F9" w:color="auto" w:val="clear"/>
            <w:tcMar>
              <w:top w:type="dxa" w:w="40"/>
              <w:left w:type="dxa" w:w="80"/>
              <w:bottom w:type="dxa" w:w="40"/>
              <w:right w:type="dxa" w:w="80"/>
            </w:tcMar>
          </w:tcPr>
          <w:p>
            <w:pPr>
              <w:jc w:val="left"/>
            </w:pPr>
            <w:r>
              <w:rPr>
                <w:b w:val="false"/>
                <w:bCs w:val="false"/>
                <w:sz w:val="20"/>
                <w:szCs w:val="20"/>
              </w:rPr>
              <w:t xml:space="preserve">Dépassement de budget</w:t>
            </w:r>
          </w:p>
        </w:tc>
        <w:tc>
          <w:tcPr>
            <w:tcW w:type="dxa" w:w="1200"/>
            <w:shd w:fill="F1F5F9" w:color="auto" w:val="clear"/>
            <w:tcMar>
              <w:top w:type="dxa" w:w="40"/>
              <w:left w:type="dxa" w:w="80"/>
              <w:bottom w:type="dxa" w:w="40"/>
              <w:right w:type="dxa" w:w="80"/>
            </w:tcMar>
          </w:tcPr>
          <w:p>
            <w:pPr>
              <w:jc w:val="left"/>
            </w:pPr>
            <w:r>
              <w:rPr>
                <w:b w:val="false"/>
                <w:bCs w:val="false"/>
                <w:sz w:val="20"/>
                <w:szCs w:val="20"/>
              </w:rPr>
              <w:t xml:space="preserve">Moyen</w:t>
            </w:r>
          </w:p>
        </w:tc>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Approche par phases avec jalons de décision (go/no-go).</w:t>
            </w:r>
          </w:p>
        </w:tc>
      </w:tr>
      <w:tr>
        <w:tc>
          <w:tcPr>
            <w:tcW w:type="dxa" w:w="3200"/>
            <w:tcMar>
              <w:top w:type="dxa" w:w="40"/>
              <w:left w:type="dxa" w:w="80"/>
              <w:bottom w:type="dxa" w:w="40"/>
              <w:right w:type="dxa" w:w="80"/>
            </w:tcMar>
          </w:tcPr>
          <w:p>
            <w:pPr>
              <w:jc w:val="left"/>
            </w:pPr>
            <w:r>
              <w:rPr>
                <w:b w:val="false"/>
                <w:bCs w:val="false"/>
                <w:sz w:val="20"/>
                <w:szCs w:val="20"/>
              </w:rPr>
              <w:t xml:space="preserve">Faible adoption par les jeunes/coachs</w:t>
            </w:r>
          </w:p>
        </w:tc>
        <w:tc>
          <w:tcPr>
            <w:tcW w:type="dxa" w:w="1200"/>
            <w:tcMar>
              <w:top w:type="dxa" w:w="40"/>
              <w:left w:type="dxa" w:w="80"/>
              <w:bottom w:type="dxa" w:w="40"/>
              <w:right w:type="dxa" w:w="80"/>
            </w:tcMar>
          </w:tcPr>
          <w:p>
            <w:pPr>
              <w:jc w:val="left"/>
            </w:pPr>
            <w:r>
              <w:rPr>
                <w:b w:val="false"/>
                <w:bCs w:val="false"/>
                <w:sz w:val="20"/>
                <w:szCs w:val="20"/>
              </w:rPr>
              <w:t xml:space="preserve">Moyen</w:t>
            </w:r>
          </w:p>
        </w:tc>
        <w:tc>
          <w:tcPr>
            <w:tcW w:type="dxa" w:w="4600"/>
            <w:tcMar>
              <w:top w:type="dxa" w:w="40"/>
              <w:left w:type="dxa" w:w="80"/>
              <w:bottom w:type="dxa" w:w="40"/>
              <w:right w:type="dxa" w:w="80"/>
            </w:tcMar>
          </w:tcPr>
          <w:p>
            <w:pPr>
              <w:jc w:val="left"/>
            </w:pPr>
            <w:r>
              <w:rPr>
                <w:b w:val="false"/>
                <w:bCs w:val="false"/>
                <w:sz w:val="20"/>
                <w:szCs w:val="20"/>
              </w:rPr>
              <w:t xml:space="preserve">Test utilisateur précoce, ergonomie soignée, valeur pédagogique démontrée.</w:t>
            </w:r>
          </w:p>
        </w:tc>
      </w:tr>
      <w:tr>
        <w:tc>
          <w:tcPr>
            <w:tcW w:type="dxa" w:w="3200"/>
            <w:shd w:fill="F1F5F9" w:color="auto" w:val="clear"/>
            <w:tcMar>
              <w:top w:type="dxa" w:w="40"/>
              <w:left w:type="dxa" w:w="80"/>
              <w:bottom w:type="dxa" w:w="40"/>
              <w:right w:type="dxa" w:w="80"/>
            </w:tcMar>
          </w:tcPr>
          <w:p>
            <w:pPr>
              <w:jc w:val="left"/>
            </w:pPr>
            <w:r>
              <w:rPr>
                <w:b w:val="false"/>
                <w:bCs w:val="false"/>
                <w:sz w:val="20"/>
                <w:szCs w:val="20"/>
              </w:rPr>
              <w:t xml:space="preserve">Coût de maintenance des modèles</w:t>
            </w:r>
          </w:p>
        </w:tc>
        <w:tc>
          <w:tcPr>
            <w:tcW w:type="dxa" w:w="1200"/>
            <w:shd w:fill="F1F5F9" w:color="auto" w:val="clear"/>
            <w:tcMar>
              <w:top w:type="dxa" w:w="40"/>
              <w:left w:type="dxa" w:w="80"/>
              <w:bottom w:type="dxa" w:w="40"/>
              <w:right w:type="dxa" w:w="80"/>
            </w:tcMar>
          </w:tcPr>
          <w:p>
            <w:pPr>
              <w:jc w:val="left"/>
            </w:pPr>
            <w:r>
              <w:rPr>
                <w:b w:val="false"/>
                <w:bCs w:val="false"/>
                <w:sz w:val="20"/>
                <w:szCs w:val="20"/>
              </w:rPr>
              <w:t xml:space="preserve">Moyen</w:t>
            </w:r>
          </w:p>
        </w:tc>
        <w:tc>
          <w:tcPr>
            <w:tcW w:type="dxa" w:w="4600"/>
            <w:shd w:fill="F1F5F9" w:color="auto" w:val="clear"/>
            <w:tcMar>
              <w:top w:type="dxa" w:w="40"/>
              <w:left w:type="dxa" w:w="80"/>
              <w:bottom w:type="dxa" w:w="40"/>
              <w:right w:type="dxa" w:w="80"/>
            </w:tcMar>
          </w:tcPr>
          <w:p>
            <w:pPr>
              <w:jc w:val="left"/>
            </w:pPr>
            <w:r>
              <w:rPr>
                <w:b w:val="false"/>
                <w:bCs w:val="false"/>
                <w:sz w:val="20"/>
                <w:szCs w:val="20"/>
              </w:rPr>
              <w:t xml:space="preserve">Monitoring de la précision, cycle de ré-entraînement planifié.</w:t>
            </w:r>
          </w:p>
        </w:tc>
      </w:tr>
    </w:tbl>
    <w:p>
      <w:pPr>
        <w:pStyle w:val="Heading1"/>
        <w:spacing w:after="120" w:before="240"/>
      </w:pPr>
      <w:r>
        <w:t xml:space="preserve">9. Alternatives envisagées</w:t>
      </w:r>
    </w:p>
    <w:p>
      <w:pPr>
        <w:spacing w:after="120" w:line="276"/>
        <w:jc w:val="both"/>
      </w:pPr>
      <w:r>
        <w:rPr>
          <w:sz w:val="22"/>
          <w:szCs w:val="22"/>
        </w:rPr>
        <w:t xml:space="preserve">Deux alternatives permettent de réduire le risque et le coût, au prix d'une valeur d'usage différente.</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2600"/>
        <w:gridCol w:w="2200"/>
        <w:gridCol w:w="2200"/>
      </w:tblGrid>
      <w:tr>
        <w:trPr>
          <w:tblHeader/>
        </w:trPr>
        <w:tc>
          <w:tcPr>
            <w:tcW w:type="dxa" w:w="2400"/>
            <w:shd w:fill="1F4E79" w:color="auto" w:val="clear"/>
            <w:tcMar>
              <w:top w:type="dxa" w:w="40"/>
              <w:left w:type="dxa" w:w="80"/>
              <w:bottom w:type="dxa" w:w="40"/>
              <w:right w:type="dxa" w:w="80"/>
            </w:tcMar>
          </w:tcPr>
          <w:p>
            <w:pPr>
              <w:jc w:val="left"/>
            </w:pPr>
            <w:r>
              <w:rPr>
                <w:b/>
                <w:bCs/>
                <w:color w:val="FFFFFF"/>
                <w:sz w:val="20"/>
                <w:szCs w:val="20"/>
              </w:rPr>
              <w:t xml:space="preserve">Option</w:t>
            </w:r>
          </w:p>
        </w:tc>
        <w:tc>
          <w:tcPr>
            <w:tcW w:type="dxa" w:w="2600"/>
            <w:shd w:fill="1F4E79" w:color="auto" w:val="clear"/>
            <w:tcMar>
              <w:top w:type="dxa" w:w="40"/>
              <w:left w:type="dxa" w:w="80"/>
              <w:bottom w:type="dxa" w:w="40"/>
              <w:right w:type="dxa" w:w="80"/>
            </w:tcMar>
          </w:tcPr>
          <w:p>
            <w:pPr>
              <w:jc w:val="left"/>
            </w:pPr>
            <w:r>
              <w:rPr>
                <w:b/>
                <w:bCs/>
                <w:color w:val="FFFFFF"/>
                <w:sz w:val="20"/>
                <w:szCs w:val="20"/>
              </w:rPr>
              <w:t xml:space="preserve">Principe</w:t>
            </w:r>
          </w:p>
        </w:tc>
        <w:tc>
          <w:tcPr>
            <w:tcW w:type="dxa" w:w="2200"/>
            <w:shd w:fill="1F4E79" w:color="auto" w:val="clear"/>
            <w:tcMar>
              <w:top w:type="dxa" w:w="40"/>
              <w:left w:type="dxa" w:w="80"/>
              <w:bottom w:type="dxa" w:w="40"/>
              <w:right w:type="dxa" w:w="80"/>
            </w:tcMar>
          </w:tcPr>
          <w:p>
            <w:pPr>
              <w:jc w:val="left"/>
            </w:pPr>
            <w:r>
              <w:rPr>
                <w:b/>
                <w:bCs/>
                <w:color w:val="FFFFFF"/>
                <w:sz w:val="20"/>
                <w:szCs w:val="20"/>
              </w:rPr>
              <w:t xml:space="preserve">Avantages</w:t>
            </w:r>
          </w:p>
        </w:tc>
        <w:tc>
          <w:tcPr>
            <w:tcW w:type="dxa" w:w="2200"/>
            <w:shd w:fill="1F4E79" w:color="auto" w:val="clear"/>
            <w:tcMar>
              <w:top w:type="dxa" w:w="40"/>
              <w:left w:type="dxa" w:w="80"/>
              <w:bottom w:type="dxa" w:w="40"/>
              <w:right w:type="dxa" w:w="80"/>
            </w:tcMar>
          </w:tcPr>
          <w:p>
            <w:pPr>
              <w:jc w:val="left"/>
            </w:pPr>
            <w:r>
              <w:rPr>
                <w:b/>
                <w:bCs/>
                <w:color w:val="FFFFFF"/>
                <w:sz w:val="20"/>
                <w:szCs w:val="20"/>
              </w:rPr>
              <w:t xml:space="preserve">Inconvénients</w:t>
            </w:r>
          </w:p>
        </w:tc>
      </w:tr>
      <w:tr>
        <w:tc>
          <w:tcPr>
            <w:tcW w:type="dxa" w:w="2400"/>
            <w:tcMar>
              <w:top w:type="dxa" w:w="40"/>
              <w:left w:type="dxa" w:w="80"/>
              <w:bottom w:type="dxa" w:w="40"/>
              <w:right w:type="dxa" w:w="80"/>
            </w:tcMar>
          </w:tcPr>
          <w:p>
            <w:pPr>
              <w:jc w:val="left"/>
            </w:pPr>
            <w:r>
              <w:rPr>
                <w:b w:val="false"/>
                <w:bCs w:val="false"/>
                <w:sz w:val="20"/>
                <w:szCs w:val="20"/>
              </w:rPr>
              <w:t xml:space="preserve">Vision vidéo (proposition)</w:t>
            </w:r>
          </w:p>
        </w:tc>
        <w:tc>
          <w:tcPr>
            <w:tcW w:type="dxa" w:w="2600"/>
            <w:tcMar>
              <w:top w:type="dxa" w:w="40"/>
              <w:left w:type="dxa" w:w="80"/>
              <w:bottom w:type="dxa" w:w="40"/>
              <w:right w:type="dxa" w:w="80"/>
            </w:tcMar>
          </w:tcPr>
          <w:p>
            <w:pPr>
              <w:jc w:val="left"/>
            </w:pPr>
            <w:r>
              <w:rPr>
                <w:b w:val="false"/>
                <w:bCs w:val="false"/>
                <w:sz w:val="20"/>
                <w:szCs w:val="20"/>
              </w:rPr>
              <w:t xml:space="preserve">Caméra + reconnaissance -&gt; FEN en continu</w:t>
            </w:r>
          </w:p>
        </w:tc>
        <w:tc>
          <w:tcPr>
            <w:tcW w:type="dxa" w:w="2200"/>
            <w:tcMar>
              <w:top w:type="dxa" w:w="40"/>
              <w:left w:type="dxa" w:w="80"/>
              <w:bottom w:type="dxa" w:w="40"/>
              <w:right w:type="dxa" w:w="80"/>
            </w:tcMar>
          </w:tcPr>
          <w:p>
            <w:pPr>
              <w:jc w:val="left"/>
            </w:pPr>
            <w:r>
              <w:rPr>
                <w:b w:val="false"/>
                <w:bCs w:val="false"/>
                <w:sz w:val="20"/>
                <w:szCs w:val="20"/>
              </w:rPr>
              <w:t xml:space="preserve">Expérience fluide, temps réel, forte valeur</w:t>
            </w:r>
          </w:p>
        </w:tc>
        <w:tc>
          <w:tcPr>
            <w:tcW w:type="dxa" w:w="2200"/>
            <w:tcMar>
              <w:top w:type="dxa" w:w="40"/>
              <w:left w:type="dxa" w:w="80"/>
              <w:bottom w:type="dxa" w:w="40"/>
              <w:right w:type="dxa" w:w="80"/>
            </w:tcMar>
          </w:tcPr>
          <w:p>
            <w:pPr>
              <w:jc w:val="left"/>
            </w:pPr>
            <w:r>
              <w:rPr>
                <w:b w:val="false"/>
                <w:bCs w:val="false"/>
                <w:sz w:val="20"/>
                <w:szCs w:val="20"/>
              </w:rPr>
              <w:t xml:space="preserve">Complexité et coût les plus élevés ; fiabilité variable</w:t>
            </w:r>
          </w:p>
        </w:tc>
      </w:tr>
      <w:tr>
        <w:tc>
          <w:tcPr>
            <w:tcW w:type="dxa" w:w="2400"/>
            <w:shd w:fill="F1F5F9" w:color="auto" w:val="clear"/>
            <w:tcMar>
              <w:top w:type="dxa" w:w="40"/>
              <w:left w:type="dxa" w:w="80"/>
              <w:bottom w:type="dxa" w:w="40"/>
              <w:right w:type="dxa" w:w="80"/>
            </w:tcMar>
          </w:tcPr>
          <w:p>
            <w:pPr>
              <w:jc w:val="left"/>
            </w:pPr>
            <w:r>
              <w:rPr>
                <w:b w:val="false"/>
                <w:bCs w:val="false"/>
                <w:sz w:val="20"/>
                <w:szCs w:val="20"/>
              </w:rPr>
              <w:t xml:space="preserve">Photo unique / saisie assistée</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L'utilisateur photographie la position ou la corrige à la main</w:t>
            </w:r>
          </w:p>
        </w:tc>
        <w:tc>
          <w:tcPr>
            <w:tcW w:type="dxa" w:w="2200"/>
            <w:shd w:fill="F1F5F9" w:color="auto" w:val="clear"/>
            <w:tcMar>
              <w:top w:type="dxa" w:w="40"/>
              <w:left w:type="dxa" w:w="80"/>
              <w:bottom w:type="dxa" w:w="40"/>
              <w:right w:type="dxa" w:w="80"/>
            </w:tcMar>
          </w:tcPr>
          <w:p>
            <w:pPr>
              <w:jc w:val="left"/>
            </w:pPr>
            <w:r>
              <w:rPr>
                <w:b w:val="false"/>
                <w:bCs w:val="false"/>
                <w:sz w:val="20"/>
                <w:szCs w:val="20"/>
              </w:rPr>
              <w:t xml:space="preserve">Beaucoup plus simple et robuste, coût réduit</w:t>
            </w:r>
          </w:p>
        </w:tc>
        <w:tc>
          <w:tcPr>
            <w:tcW w:type="dxa" w:w="2200"/>
            <w:shd w:fill="F1F5F9" w:color="auto" w:val="clear"/>
            <w:tcMar>
              <w:top w:type="dxa" w:w="40"/>
              <w:left w:type="dxa" w:w="80"/>
              <w:bottom w:type="dxa" w:w="40"/>
              <w:right w:type="dxa" w:w="80"/>
            </w:tcMar>
          </w:tcPr>
          <w:p>
            <w:pPr>
              <w:jc w:val="left"/>
            </w:pPr>
            <w:r>
              <w:rPr>
                <w:b w:val="false"/>
                <w:bCs w:val="false"/>
                <w:sz w:val="20"/>
                <w:szCs w:val="20"/>
              </w:rPr>
              <w:t xml:space="preserve">Pas de suivi continu ; friction résiduelle</w:t>
            </w:r>
          </w:p>
        </w:tc>
      </w:tr>
      <w:tr>
        <w:tc>
          <w:tcPr>
            <w:tcW w:type="dxa" w:w="2400"/>
            <w:tcMar>
              <w:top w:type="dxa" w:w="40"/>
              <w:left w:type="dxa" w:w="80"/>
              <w:bottom w:type="dxa" w:w="40"/>
              <w:right w:type="dxa" w:w="80"/>
            </w:tcMar>
          </w:tcPr>
          <w:p>
            <w:pPr>
              <w:jc w:val="left"/>
            </w:pPr>
            <w:r>
              <w:rPr>
                <w:b w:val="false"/>
                <w:bCs w:val="false"/>
                <w:sz w:val="20"/>
                <w:szCs w:val="20"/>
              </w:rPr>
              <w:t xml:space="preserve">Échiquier électronique (capteurs)</w:t>
            </w:r>
          </w:p>
        </w:tc>
        <w:tc>
          <w:tcPr>
            <w:tcW w:type="dxa" w:w="2600"/>
            <w:tcMar>
              <w:top w:type="dxa" w:w="40"/>
              <w:left w:type="dxa" w:w="80"/>
              <w:bottom w:type="dxa" w:w="40"/>
              <w:right w:type="dxa" w:w="80"/>
            </w:tcMar>
          </w:tcPr>
          <w:p>
            <w:pPr>
              <w:jc w:val="left"/>
            </w:pPr>
            <w:r>
              <w:rPr>
                <w:b w:val="false"/>
                <w:bCs w:val="false"/>
                <w:sz w:val="20"/>
                <w:szCs w:val="20"/>
              </w:rPr>
              <w:t xml:space="preserve">Plateau à capteurs (type DGT) transmettant les coups</w:t>
            </w:r>
          </w:p>
        </w:tc>
        <w:tc>
          <w:tcPr>
            <w:tcW w:type="dxa" w:w="2200"/>
            <w:tcMar>
              <w:top w:type="dxa" w:w="40"/>
              <w:left w:type="dxa" w:w="80"/>
              <w:bottom w:type="dxa" w:w="40"/>
              <w:right w:type="dxa" w:w="80"/>
            </w:tcMar>
          </w:tcPr>
          <w:p>
            <w:pPr>
              <w:jc w:val="left"/>
            </w:pPr>
            <w:r>
              <w:rPr>
                <w:b w:val="false"/>
                <w:bCs w:val="false"/>
                <w:sz w:val="20"/>
                <w:szCs w:val="20"/>
              </w:rPr>
              <w:t xml:space="preserve">Fiabilité quasi parfaite, pas de vision</w:t>
            </w:r>
          </w:p>
        </w:tc>
        <w:tc>
          <w:tcPr>
            <w:tcW w:type="dxa" w:w="2200"/>
            <w:tcMar>
              <w:top w:type="dxa" w:w="40"/>
              <w:left w:type="dxa" w:w="80"/>
              <w:bottom w:type="dxa" w:w="40"/>
              <w:right w:type="dxa" w:w="80"/>
            </w:tcMar>
          </w:tcPr>
          <w:p>
            <w:pPr>
              <w:jc w:val="left"/>
            </w:pPr>
            <w:r>
              <w:rPr>
                <w:b w:val="false"/>
                <w:bCs w:val="false"/>
                <w:sz w:val="20"/>
                <w:szCs w:val="20"/>
              </w:rPr>
              <w:t xml:space="preserve">Coût matériel par plateau ; pas de reconnaissance d'images</w:t>
            </w:r>
          </w:p>
        </w:tc>
      </w:tr>
    </w:tbl>
    <w:p>
      <w:pPr>
        <w:spacing w:after="120" w:line="276"/>
        <w:jc w:val="both"/>
      </w:pPr>
      <w:r>
        <w:rPr>
          <w:sz w:val="22"/>
          <w:szCs w:val="22"/>
        </w:rPr>
        <w:t xml:space="preserve">Recommandation intermédiaire : démarrer par l'alternative « photo unique » comme socle robuste, puis évoluer vers la vidéo continue une fois la reconnaissance fiabilisée. L'échiquier électronique reste pertinent pour un contexte de compétition officielle exigeant une fiabilité maximale.</w:t>
      </w:r>
    </w:p>
    <w:p>
      <w:pPr>
        <w:pStyle w:val="Heading1"/>
        <w:spacing w:after="120" w:before="240"/>
      </w:pPr>
      <w:r>
        <w:t xml:space="preserve">10. Feuille de route de développement</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3400"/>
        <w:gridCol w:w="2600"/>
        <w:gridCol w:w="1800"/>
      </w:tblGrid>
      <w:tr>
        <w:trPr>
          <w:tblHeader/>
        </w:trPr>
        <w:tc>
          <w:tcPr>
            <w:tcW w:type="dxa" w:w="1600"/>
            <w:shd w:fill="1F4E79" w:color="auto" w:val="clear"/>
            <w:tcMar>
              <w:top w:type="dxa" w:w="40"/>
              <w:left w:type="dxa" w:w="80"/>
              <w:bottom w:type="dxa" w:w="40"/>
              <w:right w:type="dxa" w:w="80"/>
            </w:tcMar>
          </w:tcPr>
          <w:p>
            <w:pPr>
              <w:jc w:val="left"/>
            </w:pPr>
            <w:r>
              <w:rPr>
                <w:b/>
                <w:bCs/>
                <w:color w:val="FFFFFF"/>
                <w:sz w:val="20"/>
                <w:szCs w:val="20"/>
              </w:rPr>
              <w:t xml:space="preserve">Phase</w:t>
            </w:r>
          </w:p>
        </w:tc>
        <w:tc>
          <w:tcPr>
            <w:tcW w:type="dxa" w:w="3400"/>
            <w:shd w:fill="1F4E79" w:color="auto" w:val="clear"/>
            <w:tcMar>
              <w:top w:type="dxa" w:w="40"/>
              <w:left w:type="dxa" w:w="80"/>
              <w:bottom w:type="dxa" w:w="40"/>
              <w:right w:type="dxa" w:w="80"/>
            </w:tcMar>
          </w:tcPr>
          <w:p>
            <w:pPr>
              <w:jc w:val="left"/>
            </w:pPr>
            <w:r>
              <w:rPr>
                <w:b/>
                <w:bCs/>
                <w:color w:val="FFFFFF"/>
                <w:sz w:val="20"/>
                <w:szCs w:val="20"/>
              </w:rPr>
              <w:t xml:space="preserve">Objectif</w:t>
            </w:r>
          </w:p>
        </w:tc>
        <w:tc>
          <w:tcPr>
            <w:tcW w:type="dxa" w:w="2600"/>
            <w:shd w:fill="1F4E79" w:color="auto" w:val="clear"/>
            <w:tcMar>
              <w:top w:type="dxa" w:w="40"/>
              <w:left w:type="dxa" w:w="80"/>
              <w:bottom w:type="dxa" w:w="40"/>
              <w:right w:type="dxa" w:w="80"/>
            </w:tcMar>
          </w:tcPr>
          <w:p>
            <w:pPr>
              <w:jc w:val="left"/>
            </w:pPr>
            <w:r>
              <w:rPr>
                <w:b/>
                <w:bCs/>
                <w:color w:val="FFFFFF"/>
                <w:sz w:val="20"/>
                <w:szCs w:val="20"/>
              </w:rPr>
              <w:t xml:space="preserve">Livrable</w:t>
            </w:r>
          </w:p>
        </w:tc>
        <w:tc>
          <w:tcPr>
            <w:tcW w:type="dxa" w:w="1800"/>
            <w:shd w:fill="1F4E79" w:color="auto" w:val="clear"/>
            <w:tcMar>
              <w:top w:type="dxa" w:w="40"/>
              <w:left w:type="dxa" w:w="80"/>
              <w:bottom w:type="dxa" w:w="40"/>
              <w:right w:type="dxa" w:w="80"/>
            </w:tcMar>
          </w:tcPr>
          <w:p>
            <w:pPr>
              <w:jc w:val="left"/>
            </w:pPr>
            <w:r>
              <w:rPr>
                <w:b/>
                <w:bCs/>
                <w:color w:val="FFFFFF"/>
                <w:sz w:val="20"/>
                <w:szCs w:val="20"/>
              </w:rPr>
              <w:t xml:space="preserve">Durée indicative</w:t>
            </w:r>
          </w:p>
        </w:tc>
      </w:tr>
      <w:tr>
        <w:tc>
          <w:tcPr>
            <w:tcW w:type="dxa" w:w="1600"/>
            <w:tcMar>
              <w:top w:type="dxa" w:w="40"/>
              <w:left w:type="dxa" w:w="80"/>
              <w:bottom w:type="dxa" w:w="40"/>
              <w:right w:type="dxa" w:w="80"/>
            </w:tcMar>
          </w:tcPr>
          <w:p>
            <w:pPr>
              <w:jc w:val="left"/>
            </w:pPr>
            <w:r>
              <w:rPr>
                <w:b w:val="false"/>
                <w:bCs w:val="false"/>
                <w:sz w:val="20"/>
                <w:szCs w:val="20"/>
              </w:rPr>
              <w:t xml:space="preserve">1. POC</w:t>
            </w:r>
          </w:p>
        </w:tc>
        <w:tc>
          <w:tcPr>
            <w:tcW w:type="dxa" w:w="3400"/>
            <w:tcMar>
              <w:top w:type="dxa" w:w="40"/>
              <w:left w:type="dxa" w:w="80"/>
              <w:bottom w:type="dxa" w:w="40"/>
              <w:right w:type="dxa" w:w="80"/>
            </w:tcMar>
          </w:tcPr>
          <w:p>
            <w:pPr>
              <w:jc w:val="left"/>
            </w:pPr>
            <w:r>
              <w:rPr>
                <w:b w:val="false"/>
                <w:bCs w:val="false"/>
                <w:sz w:val="20"/>
                <w:szCs w:val="20"/>
              </w:rPr>
              <w:t xml:space="preserve">Détection + FEN sur images statiques (datasets ouverts, vue zénithale)</w:t>
            </w:r>
          </w:p>
        </w:tc>
        <w:tc>
          <w:tcPr>
            <w:tcW w:type="dxa" w:w="2600"/>
            <w:tcMar>
              <w:top w:type="dxa" w:w="40"/>
              <w:left w:type="dxa" w:w="80"/>
              <w:bottom w:type="dxa" w:w="40"/>
              <w:right w:type="dxa" w:w="80"/>
            </w:tcMar>
          </w:tcPr>
          <w:p>
            <w:pPr>
              <w:jc w:val="left"/>
            </w:pPr>
            <w:r>
              <w:rPr>
                <w:b w:val="false"/>
                <w:bCs w:val="false"/>
                <w:sz w:val="20"/>
                <w:szCs w:val="20"/>
              </w:rPr>
              <w:t xml:space="preserve">Notebook + métriques de précision</w:t>
            </w:r>
          </w:p>
        </w:tc>
        <w:tc>
          <w:tcPr>
            <w:tcW w:type="dxa" w:w="1800"/>
            <w:tcMar>
              <w:top w:type="dxa" w:w="40"/>
              <w:left w:type="dxa" w:w="80"/>
              <w:bottom w:type="dxa" w:w="40"/>
              <w:right w:type="dxa" w:w="80"/>
            </w:tcMar>
          </w:tcPr>
          <w:p>
            <w:pPr>
              <w:jc w:val="left"/>
            </w:pPr>
            <w:r>
              <w:rPr>
                <w:b w:val="false"/>
                <w:bCs w:val="false"/>
                <w:sz w:val="20"/>
                <w:szCs w:val="20"/>
              </w:rPr>
              <w:t xml:space="preserve">3 – 4 semaines</w:t>
            </w:r>
          </w:p>
        </w:tc>
      </w:tr>
      <w:tr>
        <w:tc>
          <w:tcPr>
            <w:tcW w:type="dxa" w:w="1600"/>
            <w:shd w:fill="F1F5F9" w:color="auto" w:val="clear"/>
            <w:tcMar>
              <w:top w:type="dxa" w:w="40"/>
              <w:left w:type="dxa" w:w="80"/>
              <w:bottom w:type="dxa" w:w="40"/>
              <w:right w:type="dxa" w:w="80"/>
            </w:tcMar>
          </w:tcPr>
          <w:p>
            <w:pPr>
              <w:jc w:val="left"/>
            </w:pPr>
            <w:r>
              <w:rPr>
                <w:b w:val="false"/>
                <w:bCs w:val="false"/>
                <w:sz w:val="20"/>
                <w:szCs w:val="20"/>
              </w:rPr>
              <w:t xml:space="preserve">2. MVP</w:t>
            </w:r>
          </w:p>
        </w:tc>
        <w:tc>
          <w:tcPr>
            <w:tcW w:type="dxa" w:w="3400"/>
            <w:shd w:fill="F1F5F9" w:color="auto" w:val="clear"/>
            <w:tcMar>
              <w:top w:type="dxa" w:w="40"/>
              <w:left w:type="dxa" w:w="80"/>
              <w:bottom w:type="dxa" w:w="40"/>
              <w:right w:type="dxa" w:w="80"/>
            </w:tcMar>
          </w:tcPr>
          <w:p>
            <w:pPr>
              <w:jc w:val="left"/>
            </w:pPr>
            <w:r>
              <w:rPr>
                <w:b w:val="false"/>
                <w:bCs w:val="false"/>
                <w:sz w:val="20"/>
                <w:szCs w:val="20"/>
              </w:rPr>
              <w:t xml:space="preserve">Serveur MCP Vision + intégration agent, webcam en conditions contrôlées</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Serveur MCP + démo bout-en-bout</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4 – 6 semaines</w:t>
            </w:r>
          </w:p>
        </w:tc>
      </w:tr>
      <w:tr>
        <w:tc>
          <w:tcPr>
            <w:tcW w:type="dxa" w:w="1600"/>
            <w:tcMar>
              <w:top w:type="dxa" w:w="40"/>
              <w:left w:type="dxa" w:w="80"/>
              <w:bottom w:type="dxa" w:w="40"/>
              <w:right w:type="dxa" w:w="80"/>
            </w:tcMar>
          </w:tcPr>
          <w:p>
            <w:pPr>
              <w:jc w:val="left"/>
            </w:pPr>
            <w:r>
              <w:rPr>
                <w:b w:val="false"/>
                <w:bCs w:val="false"/>
                <w:sz w:val="20"/>
                <w:szCs w:val="20"/>
              </w:rPr>
              <w:t xml:space="preserve">3. Pilote</w:t>
            </w:r>
          </w:p>
        </w:tc>
        <w:tc>
          <w:tcPr>
            <w:tcW w:type="dxa" w:w="3400"/>
            <w:tcMar>
              <w:top w:type="dxa" w:w="40"/>
              <w:left w:type="dxa" w:w="80"/>
              <w:bottom w:type="dxa" w:w="40"/>
              <w:right w:type="dxa" w:w="80"/>
            </w:tcMar>
          </w:tcPr>
          <w:p>
            <w:pPr>
              <w:jc w:val="left"/>
            </w:pPr>
            <w:r>
              <w:rPr>
                <w:b w:val="false"/>
                <w:bCs w:val="false"/>
                <w:sz w:val="20"/>
                <w:szCs w:val="20"/>
              </w:rPr>
              <w:t xml:space="preserve">Test en club, collecte de données réelles, conformité RGPD</w:t>
            </w:r>
          </w:p>
        </w:tc>
        <w:tc>
          <w:tcPr>
            <w:tcW w:type="dxa" w:w="2600"/>
            <w:tcMar>
              <w:top w:type="dxa" w:w="40"/>
              <w:left w:type="dxa" w:w="80"/>
              <w:bottom w:type="dxa" w:w="40"/>
              <w:right w:type="dxa" w:w="80"/>
            </w:tcMar>
          </w:tcPr>
          <w:p>
            <w:pPr>
              <w:jc w:val="left"/>
            </w:pPr>
            <w:r>
              <w:rPr>
                <w:b w:val="false"/>
                <w:bCs w:val="false"/>
                <w:sz w:val="20"/>
                <w:szCs w:val="20"/>
              </w:rPr>
              <w:t xml:space="preserve">Pilote encadré + rapport</w:t>
            </w:r>
          </w:p>
        </w:tc>
        <w:tc>
          <w:tcPr>
            <w:tcW w:type="dxa" w:w="1800"/>
            <w:tcMar>
              <w:top w:type="dxa" w:w="40"/>
              <w:left w:type="dxa" w:w="80"/>
              <w:bottom w:type="dxa" w:w="40"/>
              <w:right w:type="dxa" w:w="80"/>
            </w:tcMar>
          </w:tcPr>
          <w:p>
            <w:pPr>
              <w:jc w:val="left"/>
            </w:pPr>
            <w:r>
              <w:rPr>
                <w:b w:val="false"/>
                <w:bCs w:val="false"/>
                <w:sz w:val="20"/>
                <w:szCs w:val="20"/>
              </w:rPr>
              <w:t xml:space="preserve">6 – 8 semaines</w:t>
            </w:r>
          </w:p>
        </w:tc>
      </w:tr>
      <w:tr>
        <w:tc>
          <w:tcPr>
            <w:tcW w:type="dxa" w:w="1600"/>
            <w:shd w:fill="F1F5F9" w:color="auto" w:val="clear"/>
            <w:tcMar>
              <w:top w:type="dxa" w:w="40"/>
              <w:left w:type="dxa" w:w="80"/>
              <w:bottom w:type="dxa" w:w="40"/>
              <w:right w:type="dxa" w:w="80"/>
            </w:tcMar>
          </w:tcPr>
          <w:p>
            <w:pPr>
              <w:jc w:val="left"/>
            </w:pPr>
            <w:r>
              <w:rPr>
                <w:b w:val="false"/>
                <w:bCs w:val="false"/>
                <w:sz w:val="20"/>
                <w:szCs w:val="20"/>
              </w:rPr>
              <w:t xml:space="preserve">4. Production</w:t>
            </w:r>
          </w:p>
        </w:tc>
        <w:tc>
          <w:tcPr>
            <w:tcW w:type="dxa" w:w="3400"/>
            <w:shd w:fill="F1F5F9" w:color="auto" w:val="clear"/>
            <w:tcMar>
              <w:top w:type="dxa" w:w="40"/>
              <w:left w:type="dxa" w:w="80"/>
              <w:bottom w:type="dxa" w:w="40"/>
              <w:right w:type="dxa" w:w="80"/>
            </w:tcMar>
          </w:tcPr>
          <w:p>
            <w:pPr>
              <w:jc w:val="left"/>
            </w:pPr>
            <w:r>
              <w:rPr>
                <w:b w:val="false"/>
                <w:bCs w:val="false"/>
                <w:sz w:val="20"/>
                <w:szCs w:val="20"/>
              </w:rPr>
              <w:t xml:space="preserve">Robustesse, monitoring, ré-entraînement, passage à l'échelle</w:t>
            </w:r>
          </w:p>
        </w:tc>
        <w:tc>
          <w:tcPr>
            <w:tcW w:type="dxa" w:w="2600"/>
            <w:shd w:fill="F1F5F9" w:color="auto" w:val="clear"/>
            <w:tcMar>
              <w:top w:type="dxa" w:w="40"/>
              <w:left w:type="dxa" w:w="80"/>
              <w:bottom w:type="dxa" w:w="40"/>
              <w:right w:type="dxa" w:w="80"/>
            </w:tcMar>
          </w:tcPr>
          <w:p>
            <w:pPr>
              <w:jc w:val="left"/>
            </w:pPr>
            <w:r>
              <w:rPr>
                <w:b w:val="false"/>
                <w:bCs w:val="false"/>
                <w:sz w:val="20"/>
                <w:szCs w:val="20"/>
              </w:rPr>
              <w:t xml:space="preserve">Service exploité et supervisé</w:t>
            </w:r>
          </w:p>
        </w:tc>
        <w:tc>
          <w:tcPr>
            <w:tcW w:type="dxa" w:w="1800"/>
            <w:shd w:fill="F1F5F9" w:color="auto" w:val="clear"/>
            <w:tcMar>
              <w:top w:type="dxa" w:w="40"/>
              <w:left w:type="dxa" w:w="80"/>
              <w:bottom w:type="dxa" w:w="40"/>
              <w:right w:type="dxa" w:w="80"/>
            </w:tcMar>
          </w:tcPr>
          <w:p>
            <w:pPr>
              <w:jc w:val="left"/>
            </w:pPr>
            <w:r>
              <w:rPr>
                <w:b w:val="false"/>
                <w:bCs w:val="false"/>
                <w:sz w:val="20"/>
                <w:szCs w:val="20"/>
              </w:rPr>
              <w:t xml:space="preserve">En continu</w:t>
            </w:r>
          </w:p>
        </w:tc>
      </w:tr>
    </w:tbl>
    <w:p>
      <w:pPr>
        <w:spacing w:after="120" w:line="276"/>
        <w:jc w:val="both"/>
      </w:pPr>
      <w:r>
        <w:rPr>
          <w:sz w:val="22"/>
          <w:szCs w:val="22"/>
        </w:rPr>
        <w:t xml:space="preserve">Chaque phase se termine par un jalon de décision (go/no-go) permettant d'arrêter ou de réorienter l'investissement en fonction des résultats mesurés, notamment la précision réelle et l'adhésion des utilisateurs.</w:t>
      </w:r>
    </w:p>
    <w:p>
      <w:pPr>
        <w:pStyle w:val="Heading1"/>
        <w:spacing w:after="120" w:before="240"/>
      </w:pPr>
      <w:r>
        <w:t xml:space="preserve">11. Recommandation et conclusion</w:t>
      </w:r>
    </w:p>
    <w:p>
      <w:pPr>
        <w:spacing w:after="120" w:line="276"/>
        <w:jc w:val="both"/>
      </w:pPr>
      <w:r>
        <w:rPr>
          <w:sz w:val="22"/>
          <w:szCs w:val="22"/>
        </w:rPr>
        <w:t xml:space="preserve">Le système d'analyse vidéo est faisable et apporterait une réelle valeur pédagogique en reliant le jeu physique des jeunes espoirs à l'agent numérique. Son architecture fondée sur MCP est cohérente avec le POC existant et en préserve la modularité : la vision devient un serveur MCP de plus, sans refonte de l'agent.</w:t>
      </w:r>
    </w:p>
    <w:p>
      <w:pPr>
        <w:spacing w:after="120" w:line="276"/>
        <w:jc w:val="both"/>
      </w:pPr>
      <w:r>
        <w:rPr>
          <w:sz w:val="22"/>
          <w:szCs w:val="22"/>
        </w:rPr>
        <w:t xml:space="preserve">Le principal facteur de risque n'est pas l'intégration mais la fiabilité de la reconnaissance en conditions réelles, et le principal enjeu non technique est la protection des données de mineurs. Nous recommandons une approche prudente et incrémentale : commencer par un POC en vue zénithale sur données ouvertes, valider la précision, puis n'investir dans la vidéo temps réel qu'après un jalon concluant. Le coût de construction (40 000 – 55 000 €) et l'opex maîtrisable en phase pilote (80 – 250 € / mois) rendent cette expérimentation raisonnable au regard de la valeur potentielle, à condition de cadrer strictement le périmètre initial et la conformité RGPD.</w:t>
      </w:r>
    </w:p>
    <w:p>
      <w:pPr>
        <w:pStyle w:val="Heading1"/>
        <w:spacing w:after="120" w:before="240"/>
      </w:pPr>
      <w:r>
        <w:t xml:space="preserve">12. Références et ressources</w:t>
      </w:r>
    </w:p>
    <w:p>
      <w:pPr>
        <w:spacing w:after="120" w:line="276"/>
        <w:jc w:val="both"/>
      </w:pPr>
      <w:r>
        <w:rPr>
          <w:sz w:val="22"/>
          <w:szCs w:val="22"/>
        </w:rPr>
        <w:t xml:space="preserve">Technologies et projets mentionnés dans cette note. Les liens ci-dessous sont ceux fournis dans le cadre de la mission ; les autres ressources sont citées par leur nom et devront être vérifiées lors de la phase de POC.</w:t>
      </w:r>
    </w:p>
    <w:p>
      <w:pPr>
        <w:pStyle w:val="ListParagraph"/>
        <w:numPr>
          <w:ilvl w:val="0"/>
          <w:numId w:val="1"/>
        </w:numPr>
        <w:spacing w:after="60" w:line="264"/>
      </w:pPr>
      <w:r>
        <w:rPr>
          <w:sz w:val="22"/>
          <w:szCs w:val="22"/>
        </w:rPr>
        <w:t xml:space="preserve">Model Context Protocol / FastMCP — cadre d'exposition d'outils aux agents : https://gofastmcp.com/getting-started/welcome</w:t>
      </w:r>
    </w:p>
    <w:p>
      <w:pPr>
        <w:pStyle w:val="ListParagraph"/>
        <w:numPr>
          <w:ilvl w:val="0"/>
          <w:numId w:val="1"/>
        </w:numPr>
        <w:spacing w:after="60" w:line="264"/>
      </w:pPr>
      <w:r>
        <w:rPr>
          <w:sz w:val="22"/>
          <w:szCs w:val="22"/>
        </w:rPr>
        <w:t xml:space="preserve">fenify-3D — approche de reconnaissance de position d'échecs en 3D par vision : https://github.com/notnil/fenify-3D</w:t>
      </w:r>
    </w:p>
    <w:p>
      <w:pPr>
        <w:pStyle w:val="ListParagraph"/>
        <w:numPr>
          <w:ilvl w:val="0"/>
          <w:numId w:val="1"/>
        </w:numPr>
        <w:spacing w:after="60" w:line="264"/>
      </w:pPr>
      <w:r>
        <w:rPr>
          <w:sz w:val="22"/>
          <w:szCs w:val="22"/>
        </w:rPr>
        <w:t xml:space="preserve">OpenCV — bibliothèque de vision par ordinateur (détection de grille, homographie).</w:t>
      </w:r>
    </w:p>
    <w:p>
      <w:pPr>
        <w:pStyle w:val="ListParagraph"/>
        <w:numPr>
          <w:ilvl w:val="0"/>
          <w:numId w:val="1"/>
        </w:numPr>
        <w:spacing w:after="60" w:line="264"/>
      </w:pPr>
      <w:r>
        <w:rPr>
          <w:sz w:val="22"/>
          <w:szCs w:val="22"/>
        </w:rPr>
        <w:t xml:space="preserve">LiveChess2FEN — travaux de référence sur la conversion image → FEN en temps réel.</w:t>
      </w:r>
    </w:p>
    <w:p>
      <w:pPr>
        <w:pStyle w:val="ListParagraph"/>
        <w:numPr>
          <w:ilvl w:val="0"/>
          <w:numId w:val="1"/>
        </w:numPr>
        <w:spacing w:after="60" w:line="264"/>
      </w:pPr>
      <w:r>
        <w:rPr>
          <w:sz w:val="22"/>
          <w:szCs w:val="22"/>
        </w:rPr>
        <w:t xml:space="preserve">Roboflow — jeux de données annotés d'échiquiers et de pièces (point de départ pour l'entraînement).</w:t>
      </w:r>
    </w:p>
    <w:p>
      <w:pPr>
        <w:pStyle w:val="ListParagraph"/>
        <w:numPr>
          <w:ilvl w:val="0"/>
          <w:numId w:val="1"/>
        </w:numPr>
        <w:spacing w:after="60" w:line="264"/>
      </w:pPr>
      <w:r>
        <w:rPr>
          <w:sz w:val="22"/>
          <w:szCs w:val="22"/>
        </w:rPr>
        <w:t xml:space="preserve">python-chess — validation de légalité des positions et manipulation des FEN (déjà utilisé dans le POC).</w:t>
      </w:r>
    </w:p>
    <w:p>
      <w:pPr>
        <w:pStyle w:val="ListParagraph"/>
        <w:numPr>
          <w:ilvl w:val="0"/>
          <w:numId w:val="1"/>
        </w:numPr>
        <w:spacing w:after="60" w:line="264"/>
      </w:pPr>
      <w:r>
        <w:rPr>
          <w:sz w:val="22"/>
          <w:szCs w:val="22"/>
        </w:rPr>
        <w:t xml:space="preserve">LangGraph — orchestration de l'agent (hôte/client MCP).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FFE — Note de conception, système d'analyse vidéo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4E79"/>
      <w:sz w:val="30"/>
      <w:szCs w:val="30"/>
    </w:rPr>
  </w:style>
  <w:style w:type="paragraph" w:styleId="Heading2">
    <w:name w:val="Heading 2"/>
    <w:basedOn w:val="Normal"/>
    <w:next w:val="Normal"/>
    <w:qFormat/>
    <w:pPr>
      <w:spacing w:after="80" w:before="180"/>
      <w:outlineLvl w:val="1"/>
    </w:pPr>
    <w:rPr>
      <w:b/>
      <w:bCs/>
      <w:color w:val="2E5F9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10038014d3cee2c0f3e3736b8bd5bbad7980a3.png"/><Relationship Id="rId9" Type="http://schemas.openxmlformats.org/officeDocument/2006/relationships/image" Target="media/301ceae3717dfd8db02c10ba0de5700ff872e63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conception - Systeme d'analyse video</dc:title>
  <dc:creator>IA Engineer - POC FFE</dc:creator>
  <cp:lastModifiedBy>Un-named</cp:lastModifiedBy>
  <cp:revision>1</cp:revision>
  <dcterms:created xsi:type="dcterms:W3CDTF">2026-09-18T07:31:05.564Z</dcterms:created>
  <dcterms:modified xsi:type="dcterms:W3CDTF">2026-09-18T07:31:05.564Z</dcterms:modified>
</cp:coreProperties>
</file>

<file path=docProps/custom.xml><?xml version="1.0" encoding="utf-8"?>
<Properties xmlns="http://schemas.openxmlformats.org/officeDocument/2006/custom-properties" xmlns:vt="http://schemas.openxmlformats.org/officeDocument/2006/docPropsVTypes"/>
</file>