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b/>
          <w:color w:val="2A8C82"/>
          <w:sz w:val="24"/>
        </w:rPr>
        <w:t>HESTIA</w:t>
      </w:r>
    </w:p>
    <w:p>
      <w:pPr>
        <w:pStyle w:val="Title"/>
      </w:pPr>
      <w:r>
        <w:t>Arquitetura inicial do MVP HestIA</w:t>
      </w:r>
    </w:p>
    <w:p>
      <w:pPr>
        <w:pStyle w:val="Subtitle"/>
      </w:pPr>
      <w:r>
        <w:t>Decisões estruturais, ASRs, módulos, integrações, dados, segurança e implantação</w:t>
      </w:r>
    </w:p>
    <w:p>
      <w:pPr>
        <w:spacing w:after="40"/>
      </w:pPr>
      <w:r>
        <w:rPr>
          <w:b/>
          <w:color w:val="16324F"/>
        </w:rPr>
        <w:t xml:space="preserve">Tarefa: </w:t>
      </w:r>
      <w:r>
        <w:t>SCRUM-106</w:t>
      </w:r>
    </w:p>
    <w:p>
      <w:pPr>
        <w:spacing w:after="40"/>
      </w:pPr>
      <w:r>
        <w:rPr>
          <w:b/>
          <w:color w:val="16324F"/>
        </w:rPr>
        <w:t xml:space="preserve">Disciplina: </w:t>
      </w:r>
      <w:r>
        <w:t>Modelagem e Construção de Software</w:t>
      </w:r>
    </w:p>
    <w:p>
      <w:pPr>
        <w:spacing w:after="40"/>
      </w:pPr>
      <w:r>
        <w:rPr>
          <w:b/>
          <w:color w:val="16324F"/>
        </w:rPr>
        <w:t xml:space="preserve">Épico Jira: </w:t>
      </w:r>
      <w:r>
        <w:t>SCRUM-99 - USD02</w:t>
      </w:r>
    </w:p>
    <w:p>
      <w:pPr>
        <w:spacing w:after="40"/>
      </w:pPr>
      <w:r>
        <w:rPr>
          <w:b/>
          <w:color w:val="16324F"/>
        </w:rPr>
        <w:t xml:space="preserve">Sprint: </w:t>
      </w:r>
      <w:r>
        <w:t>Sprint 1</w:t>
      </w:r>
    </w:p>
    <w:p>
      <w:pPr>
        <w:spacing w:after="40"/>
      </w:pPr>
      <w:r>
        <w:rPr>
          <w:b/>
          <w:color w:val="16324F"/>
        </w:rPr>
        <w:t xml:space="preserve">Responsável no Jira: </w:t>
      </w:r>
      <w:r>
        <w:t>Ricardo Gul D'Avila</w:t>
      </w:r>
    </w:p>
    <w:p>
      <w:pPr>
        <w:spacing w:after="40"/>
      </w:pPr>
      <w:r>
        <w:rPr>
          <w:b/>
          <w:color w:val="16324F"/>
        </w:rPr>
        <w:t xml:space="preserve">Data-base: </w:t>
      </w:r>
      <w:r>
        <w:t>2 de setembro de 2026</w:t>
      </w:r>
    </w:p>
    <w:p>
      <w:pPr>
        <w:spacing w:after="40"/>
      </w:pPr>
      <w:r>
        <w:rPr>
          <w:b/>
          <w:color w:val="16324F"/>
        </w:rPr>
        <w:t xml:space="preserve">Status do documento: </w:t>
      </w:r>
      <w:r>
        <w:t>Versão de trabalho para revisão da equipe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F2"/>
          </w:tcPr>
          <w:p>
            <w:r>
              <w:rPr>
                <w:b/>
              </w:rPr>
              <w:t xml:space="preserve">Base de elaboração: </w:t>
            </w:r>
            <w:r>
              <w:t>materiais do Canvas, estudo de caso do PI-IV, cards do Jira, ADR-001 e estado observado do repositório HestIA. Os rótulos de disciplina do Jira foram tratados como metadados, não como fonte acadêmica principal.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1. Decisão arquitetural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4F2"/>
          </w:tcPr>
          <w:p>
            <w:r>
              <w:rPr>
                <w:b/>
                <w:color w:val="16324F"/>
              </w:rPr>
              <w:t xml:space="preserve">Decisão: </w:t>
            </w:r>
            <w:r>
              <w:t>adotar um monólito modular em Java 21 e Spring Boot, com camadas internas por módulo, PostgreSQL compartilhado e um Alert Service Node.js integrado por REST síncrono. A decisão principal permanece coerente com a ADR-001.</w:t>
            </w:r>
          </w:p>
        </w:tc>
      </w:tr>
    </w:tbl>
    <w:p>
      <w:pPr>
        <w:spacing w:after="40"/>
      </w:pPr>
    </w:p>
    <w:p>
      <w:r>
        <w:t>A arquitetura foi escolhida por adequação ao contexto: equipe pequena, prazo acadêmico, domínio com áreas separáveis, necessidade de um único núcleo transacional e ausência de requisito comprovado de escala ou deploy independente por domínio.</w:t>
      </w:r>
    </w:p>
    <w:p>
      <w:pPr>
        <w:pStyle w:val="Heading1"/>
        <w:keepNext/>
      </w:pPr>
      <w:r>
        <w:t>2. Contexto do produto</w:t>
      </w:r>
    </w:p>
    <w:p>
      <w:r>
        <w:t>O HestIA é uma plataforma corporativa para governança, monitoramento e uso responsável de Inteligência Artificial. O estudo de caso organiza o problema nos pilares Pessoas, Tecnologia, Governança e Negócio e prevê indicadores de maturidade, produtividade, segurança, FinOps e capacitação.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9"/>
              </w:rPr>
              <w:t>Ator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9"/>
              </w:rPr>
              <w:t>Necessidade principal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Colaborador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Entender políticas, registrar uso e acompanhar capacitação e recomendações.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Gestor/Líder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Acompanhar consumo, risco, produtividade e evolução da equipe.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Executivo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Analisar maturidade, ROI, governança e evolução organizacional.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Administrador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Gerenciar empresas, departamentos, usuários, ferramentas e políticas.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Requisitos arquiteturalmente significativos</w:t>
      </w:r>
    </w:p>
    <w:p>
      <w:r>
        <w:t>Os ASRs abaixo são propostas verificáveis para o MVP. Devem ser refinados no Documento de Requisitos e aprovados pela equipe antes de se tornarem compromisso definitivo.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150"/>
        <w:gridCol w:w="341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ASR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Cenário / medida proposta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Impacto arquitetural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Segurança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Senha nunca persistida nem retornada em texto aberto; acesso escopado por empresa.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Hash, DTOs de resposta, autorização e auditoria.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Manutenibilidade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Mudança em um módulo não acessa repository interno de outro.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Fachadas públicas, dependências unidirecionais e testes arquiteturais.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Confiabilidade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Falha do Alert Service não corrompe o registro principal.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Timeout, erro controlado e estado de alerta pendente.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Desempenho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Operações CRUD do MVP respondem em até 2 s no ambiente de demonstração.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Consultas simples, índices e limites de payload.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Testabilidade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Casos de uso críticos possuem testes automatizados e pipeline.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Separação de responsabilidades e configuração de teste.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Portabilidade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Execução reproduzível em máquina da equipe.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Docker Compose, variáveis de ambiente e health checks.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Evolução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Módulos podem ser extraídos somente quando ASR justificar.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Contratos explícitos e baixa dependência entre domínios.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Análise de alternativas e trade-offs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300"/>
        <w:gridCol w:w="3160"/>
        <w:gridCol w:w="170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Alternativa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Ganho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Custo / risco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Decisão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Monólito em camadas globais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Simplicidade inicial.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Mistura domínios e aumenta acoplamento com crescimento.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Rejeitada.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Monólito modular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Limites de domínio, teste e evolução com baixo custo operacional.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Exige disciplina e regras de dependência.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Adotada.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Microsserviços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Deploy e escala independentes.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Complexidade operacional, dados distribuídos e maior custo de teste.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Adiada até existir ASR.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Módulos de negócio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5000"/>
        <w:gridCol w:w="2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Módulo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Responsabilidade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Estado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empresa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Empresa, configurações corporativas e orçamento.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Parcialmente implementado.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departamento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Estrutura organizacional vinculada à empresa.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Parcialmente implementado.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usuario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Identidade de negócio, perfil, empresa e departamento.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Parcialmente implementado; segurança bloqueante.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politica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Políticas de uso, versão, situação e vínculo empresarial.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Implementado com duplicidade a corrigir.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ferramenta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Catálogo de ferramentas/modelos, risco, aprovação e custo.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Somente enum; implementação pendente.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consumo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Registro de uso, custo, tokens e resultado de avaliação.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Planejado para o MVP.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indicadores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Métricas e visão de maturidade organizacional.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Incremental; primeiro painel no protótipo.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notificacao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Orquestração de alertas e consulta de eventos.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Gateway Spring e Alert Service Node planejados.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Regras de modularidade</w:t>
      </w:r>
    </w:p>
    <w:p>
      <w:pPr>
        <w:pStyle w:val="ListNumber"/>
      </w:pPr>
      <w:r>
        <w:t>Toda funcionalidade pertence a um módulo de negócio explícito.</w:t>
      </w:r>
    </w:p>
    <w:p>
      <w:pPr>
        <w:pStyle w:val="ListNumber"/>
      </w:pPr>
      <w:r>
        <w:t>Controller chama caso de uso/fachada; não acessa repository diretamente.</w:t>
      </w:r>
    </w:p>
    <w:p>
      <w:pPr>
        <w:pStyle w:val="ListNumber"/>
      </w:pPr>
      <w:r>
        <w:t>Repository pertence ao módulo responsável pela entidade.</w:t>
      </w:r>
    </w:p>
    <w:p>
      <w:pPr>
        <w:pStyle w:val="ListNumber"/>
      </w:pPr>
      <w:r>
        <w:t>Um módulo usa outro somente por contrato público; acesso direto ao repository alheio é proibido.</w:t>
      </w:r>
    </w:p>
    <w:p>
      <w:pPr>
        <w:pStyle w:val="ListNumber"/>
      </w:pPr>
      <w:r>
        <w:t>Entidade JPA possui um único modelo canônico e não é duplicada em outro módulo.</w:t>
      </w:r>
    </w:p>
    <w:p>
      <w:pPr>
        <w:pStyle w:val="ListNumber"/>
      </w:pPr>
      <w:r>
        <w:t>DTOs de entrada e saída protegem o domínio e dados sensíveis.</w:t>
      </w:r>
    </w:p>
    <w:p>
      <w:pPr>
        <w:pStyle w:val="ListNumber"/>
      </w:pPr>
      <w:r>
        <w:t>Dependências circulares são proibidas; mudanças de limite exigem ADR.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/>
                <w:color w:val="1D2939"/>
                <w:sz w:val="17"/>
              </w:rPr>
              <w:t>br.com.hestia</w:t>
              <w:br/>
              <w:t>+-- empresa</w:t>
              <w:br/>
              <w:t>|   +-- api | application | domain | infrastructure</w:t>
              <w:br/>
              <w:t>+-- departamento</w:t>
              <w:br/>
              <w:t>+-- usuario</w:t>
              <w:br/>
              <w:t>+-- politica</w:t>
              <w:br/>
              <w:t>+-- ferramenta</w:t>
              <w:br/>
              <w:t>+-- consumo</w:t>
              <w:br/>
              <w:t>+-- notificacao</w:t>
              <w:br/>
              <w:t>+-- shared  # somente recursos técnicos neutros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Arquitetura de execução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698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-conteine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667085"/>
          <w:sz w:val="18"/>
        </w:rPr>
        <w:t>Figura 1 - Contêineres propostos para o MVP.</w:t>
      </w:r>
    </w:p>
    <w:p>
      <w:pPr>
        <w:pStyle w:val="Heading2"/>
        <w:keepNext/>
      </w:pPr>
      <w:r>
        <w:t>7.1 Integração Spring Boot e Node.js</w:t>
      </w:r>
    </w:p>
    <w:p>
      <w:r>
        <w:t>O material da disciplina demonstra que uma funcionalidade externa em Node.js pode ser integrada ao monólito por REST sem transformar automaticamente o núcleo em microsserviços. No HestIA, o Alert Service será um componente auxiliar especializado em avaliar ou registrar alertas.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8"/>
              </w:rPr>
              <w:t>Aspecto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8"/>
              </w:rPr>
              <w:t>Decisão do MVP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Protocolo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HTTP REST síncrono com JSON.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Chamada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Spring Boot chama o Alert Service após validar o caso de uso.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Contrato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Entrada com empresa, origem, tipo, valor e contexto; saída com nível e mensagem.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Falha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Timeout curto, erro controlado, log com correlação e possibilidade de alerta pendente.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Saúde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Endpoint /health no Node e health check no Docker Compose.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Evolução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Persistência própria ou mensageria somente se um ASR justificar.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Persistência e dados</w:t>
      </w:r>
    </w:p>
    <w:p>
      <w:pPr>
        <w:pStyle w:val="ListBullet"/>
      </w:pPr>
      <w:r>
        <w:t>PostgreSQL é o banco compartilhado do monólito no MVP.</w:t>
      </w:r>
    </w:p>
    <w:p>
      <w:pPr>
        <w:pStyle w:val="ListBullet"/>
      </w:pPr>
      <w:r>
        <w:t>Cada tabela possui um módulo proprietário; outros módulos usam contratos públicos.</w:t>
      </w:r>
    </w:p>
    <w:p>
      <w:pPr>
        <w:pStyle w:val="ListBullet"/>
      </w:pPr>
      <w:r>
        <w:t>Relações devem carregar empresa_id para garantir segregação organizacional.</w:t>
      </w:r>
    </w:p>
    <w:p>
      <w:pPr>
        <w:pStyle w:val="ListBullet"/>
      </w:pPr>
      <w:r>
        <w:t>Migrações de esquema devem ser versionadas; atualização automática destrutiva não é permitida.</w:t>
      </w:r>
    </w:p>
    <w:p>
      <w:pPr>
        <w:pStyle w:val="ListBullet"/>
      </w:pPr>
      <w:r>
        <w:t>Política de uso terá uma única entidade canônica no módulo politica.</w:t>
      </w:r>
    </w:p>
    <w:p>
      <w:pPr>
        <w:pStyle w:val="ListBullet"/>
      </w:pPr>
      <w:r>
        <w:t>Logs não devem conter senha, token, conteúdo sensível ou credencial de fornecedor.</w:t>
      </w:r>
    </w:p>
    <w:p>
      <w:pPr>
        <w:pStyle w:val="Heading1"/>
        <w:keepNext/>
      </w:pPr>
      <w:r>
        <w:t>9. API, erros e segurança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8"/>
              </w:rPr>
              <w:t>Tema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8"/>
              </w:rPr>
              <w:t>Padrão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URLs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Recursos no plural e versão /api/v1 quando os contratos forem estabilizados.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DTOs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Separar entrada, saída e integrações; nunca retornar senha.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Validação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Jakarta Validation no limite da API e regras de negócio na aplicação/domínio.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Erros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Formato consistente com código, mensagem, campos, timestamp e correlationId.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Autenticação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Planejar Spring Security; hash de senha é requisito bloqueante.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Autorização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Perfis FUNCIONARIO, GESTOR e ADMIN, sempre escopados por empresa.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Testes, observabilidade e operação</w:t>
      </w:r>
    </w:p>
    <w:p>
      <w:pPr>
        <w:pStyle w:val="ListBullet"/>
      </w:pPr>
      <w:r>
        <w:t>Testes unitários para regras e casos de uso.</w:t>
      </w:r>
    </w:p>
    <w:p>
      <w:pPr>
        <w:pStyle w:val="ListBullet"/>
      </w:pPr>
      <w:r>
        <w:t>Testes de integração para JPA, banco e contratos REST.</w:t>
      </w:r>
    </w:p>
    <w:p>
      <w:pPr>
        <w:pStyle w:val="ListBullet"/>
      </w:pPr>
      <w:r>
        <w:t>Testes arquiteturais para dependências entre módulos.</w:t>
      </w:r>
    </w:p>
    <w:p>
      <w:pPr>
        <w:pStyle w:val="ListBullet"/>
      </w:pPr>
      <w:r>
        <w:t>Logs estruturados com correlationId e identificação da operação, sem dados sensíveis.</w:t>
      </w:r>
    </w:p>
    <w:p>
      <w:pPr>
        <w:pStyle w:val="ListBullet"/>
      </w:pPr>
      <w:r>
        <w:t>Health checks de API, banco e Alert Service.</w:t>
      </w:r>
    </w:p>
    <w:p>
      <w:pPr>
        <w:pStyle w:val="ListBullet"/>
      </w:pPr>
      <w:r>
        <w:t>Pipeline de PR executando build e testes.</w:t>
      </w:r>
    </w:p>
    <w:p>
      <w:pPr>
        <w:pStyle w:val="Heading1"/>
        <w:keepNext/>
      </w:pPr>
      <w:r>
        <w:t>11. Mapeamento estado atual -&gt; arquitetura-alvo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900"/>
        <w:gridCol w:w="4660"/>
        <w:gridCol w:w="180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Lacuna atual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Correção arquitetural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2F7"/>
          </w:tcPr>
          <w:p>
            <w:pPr>
              <w:jc w:val="center"/>
            </w:pPr>
            <w:r>
              <w:rPr>
                <w:b/>
                <w:color w:val="16324F"/>
                <w:sz w:val="17"/>
              </w:rPr>
              <w:t>Prioridade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PoliticaUso duplicada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Um modelo canônico no módulo politica.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Bloqueante.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Services acessam repositories de outros módulos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EmpresaFacade e DepartamentoFacade públicas.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Alta.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Senha em texto aberto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Hash e DTO de resposta sem senha.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Bloqueante.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Sem classe principal/configuração consolidada em develop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Reconciliar branches e documentar variáveis.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Bloqueante.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Sem testes/CI suficientes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Teste-base, testes por módulo e pipeline.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Alta.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Node inexistente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Implementar após contrato aprovado na SCRUM-159.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Média após D1.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Critérios de aceite da SCRUM-106</w:t>
      </w:r>
    </w:p>
    <w:p>
      <w:pPr>
        <w:pStyle w:val="ListNumber"/>
      </w:pPr>
      <w:r>
        <w:t>A arquitetura define estilo, módulos, responsabilidades, dependências e regras de modularidade.</w:t>
      </w:r>
    </w:p>
    <w:p>
      <w:pPr>
        <w:pStyle w:val="ListNumber"/>
      </w:pPr>
      <w:r>
        <w:t>Os principais ASRs e trade-offs estão documentados.</w:t>
      </w:r>
    </w:p>
    <w:p>
      <w:pPr>
        <w:pStyle w:val="ListNumber"/>
      </w:pPr>
      <w:r>
        <w:t>Spring Boot, PostgreSQL e Node.js possuem papéis, contratos e estratégia de falha definidos.</w:t>
      </w:r>
    </w:p>
    <w:p>
      <w:pPr>
        <w:pStyle w:val="ListNumber"/>
      </w:pPr>
      <w:r>
        <w:t>A arquitetura diferencia componentes existentes, planejados e futuros.</w:t>
      </w:r>
    </w:p>
    <w:p>
      <w:pPr>
        <w:pStyle w:val="ListNumber"/>
      </w:pPr>
      <w:r>
        <w:t>Os diagramas da SCRUM-105 podem ser derivados sem decisões pendentes.</w:t>
      </w:r>
    </w:p>
    <w:p>
      <w:pPr>
        <w:pStyle w:val="ListNumber"/>
      </w:pPr>
      <w:r>
        <w:t>As lacunas do código atual estão registradas com prioridade de correção.</w:t>
      </w:r>
    </w:p>
    <w:p>
      <w:pPr>
        <w:pStyle w:val="Heading1"/>
        <w:keepNext/>
      </w:pPr>
      <w:r>
        <w:t>Referências e fontes consultadas</w:t>
      </w:r>
    </w:p>
    <w:p>
      <w:pPr>
        <w:pStyle w:val="ListBullet"/>
      </w:pPr>
      <w:r>
        <w:t>Canvas ESPM. Deliverables 1 (Entregáveis 1) - Todas as Disciplinas. Curso GTECHSP-TI4A-2592, atividade 293213.</w:t>
      </w:r>
    </w:p>
    <w:p>
      <w:pPr>
        <w:pStyle w:val="ListBullet"/>
      </w:pPr>
      <w:r>
        <w:t>LELES, Andréia Damasio de. Introdução à Arquitetura de Software - C4_v1. Material da disciplina Modelagem e Construção de Software, 2026.</w:t>
      </w:r>
    </w:p>
    <w:p>
      <w:pPr>
        <w:pStyle w:val="ListBullet"/>
      </w:pPr>
      <w:r>
        <w:t>LELES, Andréia Damasio de. Monólitos em Camadas x Monólito Modular x Microservices. Material da disciplina, 2026.</w:t>
      </w:r>
    </w:p>
    <w:p>
      <w:pPr>
        <w:pStyle w:val="ListBullet"/>
      </w:pPr>
      <w:r>
        <w:t>LELES, Andréia Damasio de. Monólitos em camadas e microservices: integração com Node via RestClient. Material da disciplina, 2026.</w:t>
      </w:r>
    </w:p>
    <w:p>
      <w:pPr>
        <w:pStyle w:val="ListBullet"/>
      </w:pPr>
      <w:r>
        <w:t>ESPM. PI-IV - Projeto Estudo de Caso v2. Projeto Integrado IV, 2026.</w:t>
      </w:r>
    </w:p>
    <w:p>
      <w:pPr>
        <w:pStyle w:val="ListBullet"/>
      </w:pPr>
      <w:r>
        <w:t>HestIA. ADR-001 - Adotar monólito modular com camadas internas por módulo de negócio. Status: aceita, 30 ago. 2026.</w:t>
      </w:r>
    </w:p>
    <w:p>
      <w:pPr>
        <w:pStyle w:val="ListBullet"/>
      </w:pPr>
      <w:r>
        <w:t>Jira Projeto_SM. SCRUM-105, SCRUM-106 e SCRUM-150. Consultado em 2 set. 2026.</w:t>
      </w:r>
    </w:p>
    <w:p>
      <w:pPr>
        <w:pStyle w:val="ListBullet"/>
      </w:pPr>
      <w:r>
        <w:t>Repositório local HestIA. Snapshot técnico de origin/develop e branch local de documentação, consultado em 2 set. 2026.</w:t>
      </w:r>
    </w:p>
    <w:p>
      <w:pPr>
        <w:pStyle w:val="ListBullet"/>
      </w:pPr>
      <w:r>
        <w:t>BROWN, Simon. The C4 Model for Visualising Software Architecture. c4model.com.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7"/>
      </w:rPr>
      <w:t xml:space="preserve">ESPM  |  Documento de Modelagem e Construção de Software  |  </w:t>
    </w:r>
    <w: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8"/>
      </w:rPr>
      <w:t>HESTIA  |  Projeto Integrado IV  |  SCRUM-106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D29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46B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46B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