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b/>
          <w:color w:val="2A8C82"/>
          <w:sz w:val="24"/>
        </w:rPr>
        <w:t>HESTIA</w:t>
      </w:r>
    </w:p>
    <w:p>
      <w:pPr>
        <w:pStyle w:val="Title"/>
      </w:pPr>
      <w:r>
        <w:t>Documentação C4 do HestIA</w:t>
      </w:r>
    </w:p>
    <w:p>
      <w:pPr>
        <w:pStyle w:val="Subtitle"/>
      </w:pPr>
      <w:r>
        <w:t>Contexto, contêineres, componentes, código, cenário dinâmico e aderência ao repositório</w:t>
      </w:r>
    </w:p>
    <w:p>
      <w:pPr>
        <w:spacing w:after="40"/>
      </w:pPr>
      <w:r>
        <w:rPr>
          <w:b/>
          <w:color w:val="16324F"/>
        </w:rPr>
        <w:t xml:space="preserve">Tarefa: </w:t>
      </w:r>
      <w:r>
        <w:t>SCRUM-105</w:t>
      </w:r>
    </w:p>
    <w:p>
      <w:pPr>
        <w:spacing w:after="40"/>
      </w:pPr>
      <w:r>
        <w:rPr>
          <w:b/>
          <w:color w:val="16324F"/>
        </w:rPr>
        <w:t xml:space="preserve">Disciplina: </w:t>
      </w:r>
      <w:r>
        <w:t>Modelagem e Construção de Software</w:t>
      </w:r>
    </w:p>
    <w:p>
      <w:pPr>
        <w:spacing w:after="40"/>
      </w:pPr>
      <w:r>
        <w:rPr>
          <w:b/>
          <w:color w:val="16324F"/>
        </w:rPr>
        <w:t xml:space="preserve">Épico Jira: </w:t>
      </w:r>
      <w:r>
        <w:t>SCRUM-99 - USD02</w:t>
      </w:r>
    </w:p>
    <w:p>
      <w:pPr>
        <w:spacing w:after="40"/>
      </w:pPr>
      <w:r>
        <w:rPr>
          <w:b/>
          <w:color w:val="16324F"/>
        </w:rPr>
        <w:t xml:space="preserve">Sprint: </w:t>
      </w:r>
      <w:r>
        <w:t>Sprint 1</w:t>
      </w:r>
    </w:p>
    <w:p>
      <w:pPr>
        <w:spacing w:after="40"/>
      </w:pPr>
      <w:r>
        <w:rPr>
          <w:b/>
          <w:color w:val="16324F"/>
        </w:rPr>
        <w:t xml:space="preserve">Responsável no Jira: </w:t>
      </w:r>
      <w:r>
        <w:t>Ricardo Gul D'Avila</w:t>
      </w:r>
    </w:p>
    <w:p>
      <w:pPr>
        <w:spacing w:after="40"/>
      </w:pPr>
      <w:r>
        <w:rPr>
          <w:b/>
          <w:color w:val="16324F"/>
        </w:rPr>
        <w:t xml:space="preserve">Data-base: </w:t>
      </w:r>
      <w:r>
        <w:t>2 de setembro de 2026</w:t>
      </w:r>
    </w:p>
    <w:p>
      <w:pPr>
        <w:spacing w:after="40"/>
      </w:pPr>
      <w:r>
        <w:rPr>
          <w:b/>
          <w:color w:val="16324F"/>
        </w:rPr>
        <w:t xml:space="preserve">Status do documento: </w:t>
      </w:r>
      <w:r>
        <w:t>Versão de trabalho para revisão da equipe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2"/>
          </w:tcPr>
          <w:p>
            <w:r>
              <w:rPr>
                <w:b/>
              </w:rPr>
              <w:t xml:space="preserve">Base de elaboração: </w:t>
            </w:r>
            <w:r>
              <w:t>materiais do Canvas, estudo de caso do PI-IV, cards do Jira, ADR-001 e estado observado do repositório HestIA. Os rótulos de disciplina do Jira foram tratados como metadados, não como fonte acadêmica principal.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Objetivo e convenções</w:t>
      </w:r>
    </w:p>
    <w:p>
      <w:r>
        <w:t>O modelo C4 documenta a arquitetura em níveis progressivos de zoom: Contexto, Contêiner, Componente e Código. Esta documentação representa a arquitetura-alvo do MVP definida na SCRUM-106 e identifica explicitamente elementos ainda não implementados.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Notação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Significado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Caixa azul/verde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Elemento interno do HestIA ou do MVP.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Caixa cinza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Pessoa, banco ou elemento de infraestrutura.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Caixa amarela/roxa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Integração auxiliar ou futura.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Seta contínua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Relação necessária no MVP.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Seta tracejada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Relação planejada, ainda não implementada.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Nível 1 - Contexto do Sistema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-contex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67085"/>
          <w:sz w:val="18"/>
        </w:rPr>
        <w:t>Figura 1 - Diagrama de Contexto do HestIA.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Elemento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Tipo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Responsabilidade / relação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HestIA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Sistema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Centraliza governança, uso, risco, políticas, ferramentas e indicadores de IA.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Colaborador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Pessoa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 políticas e registra/acompanha uso e capacitação.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Gestor/Líder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Pessoa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Acompanha equipe, alertas, consumo e evolução.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Executivo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Pessoa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 maturidade, produtividade, risco e FinOps.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Pessoa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Mantém cadastros, permissões, ferramentas e políticas.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Ferramentas/APIs de 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Sistema externo futuro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Fornece telemetria ou consumo quando integrações forem implementadas.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Canais corporativos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Sistema externo futuro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Recebe notificações por e-mail, mensageria ou canal em tempo real.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Nível 2 - Contêineres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69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-conteine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67085"/>
          <w:sz w:val="18"/>
        </w:rPr>
        <w:t>Figura 2 - Diagrama de Contêineres do MVP.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900"/>
        <w:gridCol w:w="3560"/>
        <w:gridCol w:w="20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Contêiner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Tecnologia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Responsabilidade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Estado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Interface Web / Protótipo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 confirmar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Interface para os fluxos demonstráveis.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Planejado; não encontrado no repositório.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API HestIA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Java 21, Spring Boot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Casos de uso, regras, APIs e persistência do núcleo.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Parcialmente implementado.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Dados corporativos do monólito modular.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Dependência definida; configuração a consolidar.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Alert Service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Node.js / Express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Avalia ou registra alertas e devolve nível/mensagem.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Planejado pelas SCRUM-109/159.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E8"/>
          </w:tcPr>
          <w:p>
            <w:r>
              <w:rPr>
                <w:b/>
                <w:color w:val="16324F"/>
              </w:rPr>
              <w:t xml:space="preserve">Decisão sobre Node.js: </w:t>
            </w:r>
            <w:r>
              <w:t>o Alert Service é um componente auxiliar integrado por REST síncrono, conforme o exemplo acadêmico. Ele não altera, por si só, o estilo do núcleo para microsserviços.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Nível 3 - Componentes da API HestIA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896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-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67085"/>
          <w:sz w:val="18"/>
        </w:rPr>
        <w:t>Figura 3 - Componentes e limites do monólito modular.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450"/>
        <w:gridCol w:w="28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6"/>
              </w:rPr>
              <w:t>Componente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6"/>
              </w:rPr>
              <w:t>Responsabilidade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6"/>
              </w:rPr>
              <w:t>Dependências permitidas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API REST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Receber HTTP, validar DTOs e traduzir respostas/erros.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Casos de uso e fachadas públicas.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Empresa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Empresa, orçamento e configuração corporativa.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Persistência própria.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Departamento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Estrutura organizacional.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EmpresaFacade, nunca EmpresaRepository direto.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Usuário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Usuários, perfis e vínculo organizacional.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EmpresaFacade e DepartamentoFacade.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Política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Políticas, versões e ativação.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EmpresaFacade.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Ferramenta IA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Catálogo, aprovação, risco e custo.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EmpresaFacade.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Consumo/Indicadores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Registros de uso e agregações iniciais.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Ferramenta, empresa e NotificationGateway.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NotificationGateway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Porta de integração com o Alert Service.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Cliente REST externo; sem regra do domínio Node.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Persistência JPA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Adapters de banco pertencentes a cada módulo.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PostgreSQL.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Nível 4 - Visão de código</w:t>
      </w:r>
    </w:p>
    <w:p>
      <w:r>
        <w:t>O nível de código é apresentado como estrutura recomendada de pacotes. Classes concretas devem acompanhar a evolução do repositório; o documento não pretende substituir diagramas de classe detalhados.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D2939"/>
                <w:sz w:val="17"/>
              </w:rPr>
              <w:t>br.com.hestia</w:t>
              <w:br/>
              <w:t>+-- HestiaApplication</w:t>
              <w:br/>
              <w:t>+-- empresa</w:t>
              <w:br/>
              <w:t>|   +-- api/EmpresaController, EmpresaRequest, EmpresaResponse</w:t>
              <w:br/>
              <w:t>|   +-- application/EmpresaFacade, EmpresaService</w:t>
              <w:br/>
              <w:t>|   +-- domain/Empresa</w:t>
              <w:br/>
              <w:t>|   +-- infrastructure/EmpresaRepository</w:t>
              <w:br/>
              <w:t>+-- departamento</w:t>
              <w:br/>
              <w:t>+-- usuario</w:t>
              <w:br/>
              <w:t>+-- politica</w:t>
              <w:br/>
              <w:t>+-- ferramenta</w:t>
              <w:br/>
              <w:t>+-- consumo</w:t>
              <w:br/>
              <w:t>+-- notificacao</w:t>
              <w:br/>
              <w:t>|   +-- application/NotificationGateway</w:t>
              <w:br/>
              <w:t>|   +-- infrastructure/NodeAlertClient</w:t>
              <w:br/>
              <w:t>+-- shared/config | error | security | observability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Cenário dinâmico - registro de consumo e alerta</w:t>
      </w:r>
    </w:p>
    <w:p>
      <w:pPr>
        <w:pStyle w:val="ListNumber"/>
      </w:pPr>
      <w:r>
        <w:t>O usuário registra um uso/consumo na Interface Web.</w:t>
      </w:r>
    </w:p>
    <w:p>
      <w:pPr>
        <w:pStyle w:val="ListNumber"/>
      </w:pPr>
      <w:r>
        <w:t>A Interface Web envia POST para a API HestIA.</w:t>
      </w:r>
    </w:p>
    <w:p>
      <w:pPr>
        <w:pStyle w:val="ListNumber"/>
      </w:pPr>
      <w:r>
        <w:t>A API valida usuário, empresa, ferramenta e política aplicável.</w:t>
      </w:r>
    </w:p>
    <w:p>
      <w:pPr>
        <w:pStyle w:val="ListNumber"/>
      </w:pPr>
      <w:r>
        <w:t>O módulo Consumo persiste o registro no PostgreSQL.</w:t>
      </w:r>
    </w:p>
    <w:p>
      <w:pPr>
        <w:pStyle w:val="ListNumber"/>
      </w:pPr>
      <w:r>
        <w:t>O NotificationGateway envia ao Alert Service os dados necessários para avaliação.</w:t>
      </w:r>
    </w:p>
    <w:p>
      <w:pPr>
        <w:pStyle w:val="ListNumber"/>
      </w:pPr>
      <w:r>
        <w:t>O Alert Service responde com nível INFO, WARNING ou CRITICAL e uma mensagem.</w:t>
      </w:r>
    </w:p>
    <w:p>
      <w:pPr>
        <w:pStyle w:val="ListNumber"/>
      </w:pPr>
      <w:r>
        <w:t>A API devolve a resposta consolidada à Interface Web.</w:t>
      </w:r>
    </w:p>
    <w:p>
      <w:pPr>
        <w:pStyle w:val="ListNumber"/>
      </w:pPr>
      <w:r>
        <w:t>Em timeout ou indisponibilidade, o consumo permanece válido e o alerta fica pendente ou é reportado como não avaliado.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900"/>
        <w:gridCol w:w="4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Chamada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Origem -&gt; destino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Contrato resumido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/api/v1/consumos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Interface -&gt; API HestIA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empresaId, usuarioId, ferramentaId, quantidade, unidade e contexto.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/alerts/evaluate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API HestIA -&gt; Alert Service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empresaId, origem, métrica, valor, limites e correlationId.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200 AlertResponse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Alert Service -&gt; API HestIA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level, message, evaluatedAt e correlationId.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Implantação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D2939"/>
                <w:sz w:val="17"/>
              </w:rPr>
              <w:t>docker-compose</w:t>
              <w:br/>
              <w:t>+-- postgres       :5432  [health: pg_isready]</w:t>
              <w:br/>
              <w:t>+-- hestia-api     :8080  [depende do postgres saudável]</w:t>
              <w:br/>
              <w:t>+-- alert-service  :3001  [health: /health]</w:t>
              <w:br/>
              <w:t>+-- web-ui         :3000  [planejado; depende da API]</w:t>
            </w:r>
          </w:p>
        </w:tc>
      </w:tr>
    </w:tbl>
    <w:p>
      <w:pPr>
        <w:spacing w:after="40"/>
      </w:pPr>
    </w:p>
    <w:p>
      <w:pPr>
        <w:pStyle w:val="ListBullet"/>
      </w:pPr>
      <w:r>
        <w:t>URLs, portas e credenciais são fornecidas por variáveis de ambiente.</w:t>
      </w:r>
    </w:p>
    <w:p>
      <w:pPr>
        <w:pStyle w:val="ListBullet"/>
      </w:pPr>
      <w:r>
        <w:t>O banco não deve publicar credenciais no repositório.</w:t>
      </w:r>
    </w:p>
    <w:p>
      <w:pPr>
        <w:pStyle w:val="ListBullet"/>
      </w:pPr>
      <w:r>
        <w:t>Health checks determinam a ordem de inicialização.</w:t>
      </w:r>
    </w:p>
    <w:p>
      <w:pPr>
        <w:pStyle w:val="ListBullet"/>
      </w:pPr>
      <w:r>
        <w:t>Logs da API e do Node compartilham correlationId para rastrear o fluxo.</w:t>
      </w:r>
    </w:p>
    <w:p>
      <w:pPr>
        <w:pStyle w:val="Heading1"/>
        <w:keepNext/>
      </w:pPr>
      <w:r>
        <w:t>8. Coerência com o código e lacunas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3000"/>
        <w:gridCol w:w="3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Evidência do repositório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Representação no C4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Lacuna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Pacotes empresa, departamento, usuario e politica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Módulos dentro da API HestIA.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Criar contratos públicos/fachadas.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TipoFerramentaIA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Módulo Ferramenta IA.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Entidade e camadas restantes pendentes.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Duas entidades PoliticaUso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Um único componente Política.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Remover duplicidade antes do build final.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Services acessando repository de outro módulo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Setas passam por fachadas.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Refatorar dependências diretas.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Ausência de Node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Alert Service marcado como planejado.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Implementar nas Scrums seguintes.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Ausência de frontend versionado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Interface marcada como planejada.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Versionar protótipo ou documentar ferramenta externa.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Critérios de aceite da SCRUM-105</w:t>
      </w:r>
    </w:p>
    <w:p>
      <w:pPr>
        <w:pStyle w:val="ListNumber"/>
      </w:pPr>
      <w:r>
        <w:t>A documentação contém Contexto, Contêineres, Componentes e visão de Código.</w:t>
      </w:r>
    </w:p>
    <w:p>
      <w:pPr>
        <w:pStyle w:val="ListNumber"/>
      </w:pPr>
      <w:r>
        <w:t>Cada elemento possui nome, tipo, responsabilidade, tecnologia e relações compreensíveis.</w:t>
      </w:r>
    </w:p>
    <w:p>
      <w:pPr>
        <w:pStyle w:val="ListNumber"/>
      </w:pPr>
      <w:r>
        <w:t>Os diagramas distinguem estado implementado, planejado e futuro.</w:t>
      </w:r>
    </w:p>
    <w:p>
      <w:pPr>
        <w:pStyle w:val="ListNumber"/>
      </w:pPr>
      <w:r>
        <w:t>As relações respeitam a ADR-001 e as regras da SCRUM-106.</w:t>
      </w:r>
    </w:p>
    <w:p>
      <w:pPr>
        <w:pStyle w:val="ListNumber"/>
      </w:pPr>
      <w:r>
        <w:t>O cenário Spring Boot -&gt; Node.js -&gt; resposta está documentado.</w:t>
      </w:r>
    </w:p>
    <w:p>
      <w:pPr>
        <w:pStyle w:val="ListNumber"/>
      </w:pPr>
      <w:r>
        <w:t>As lacunas entre diagrama e repositório estão registradas para correção.</w:t>
      </w:r>
    </w:p>
    <w:p>
      <w:pPr>
        <w:pStyle w:val="Heading1"/>
        <w:keepNext/>
      </w:pPr>
      <w:r>
        <w:t>Referências e fontes consultadas</w:t>
      </w:r>
    </w:p>
    <w:p>
      <w:pPr>
        <w:pStyle w:val="ListBullet"/>
      </w:pPr>
      <w:r>
        <w:t>Canvas ESPM. Deliverables 1 (Entregáveis 1) - Todas as Disciplinas. Curso GTECHSP-TI4A-2592, atividade 293213.</w:t>
      </w:r>
    </w:p>
    <w:p>
      <w:pPr>
        <w:pStyle w:val="ListBullet"/>
      </w:pPr>
      <w:r>
        <w:t>LELES, Andréia Damasio de. Introdução à Arquitetura de Software - C4_v1. Material da disciplina Modelagem e Construção de Software, 2026.</w:t>
      </w:r>
    </w:p>
    <w:p>
      <w:pPr>
        <w:pStyle w:val="ListBullet"/>
      </w:pPr>
      <w:r>
        <w:t>LELES, Andréia Damasio de. Monólitos em Camadas x Monólito Modular x Microservices. Material da disciplina, 2026.</w:t>
      </w:r>
    </w:p>
    <w:p>
      <w:pPr>
        <w:pStyle w:val="ListBullet"/>
      </w:pPr>
      <w:r>
        <w:t>LELES, Andréia Damasio de. Monólitos em camadas e microservices: integração com Node via RestClient. Material da disciplina, 2026.</w:t>
      </w:r>
    </w:p>
    <w:p>
      <w:pPr>
        <w:pStyle w:val="ListBullet"/>
      </w:pPr>
      <w:r>
        <w:t>ESPM. PI-IV - Projeto Estudo de Caso v2. Projeto Integrado IV, 2026.</w:t>
      </w:r>
    </w:p>
    <w:p>
      <w:pPr>
        <w:pStyle w:val="ListBullet"/>
      </w:pPr>
      <w:r>
        <w:t>HestIA. ADR-001 - Adotar monólito modular com camadas internas por módulo de negócio. Status: aceita, 30 ago. 2026.</w:t>
      </w:r>
    </w:p>
    <w:p>
      <w:pPr>
        <w:pStyle w:val="ListBullet"/>
      </w:pPr>
      <w:r>
        <w:t>Jira Projeto_SM. SCRUM-105, SCRUM-106 e SCRUM-150. Consultado em 2 set. 2026.</w:t>
      </w:r>
    </w:p>
    <w:p>
      <w:pPr>
        <w:pStyle w:val="ListBullet"/>
      </w:pPr>
      <w:r>
        <w:t>Repositório local HestIA. Snapshot técnico de origin/develop e branch local de documentação, consultado em 2 set. 2026.</w:t>
      </w:r>
    </w:p>
    <w:p>
      <w:pPr>
        <w:pStyle w:val="ListBullet"/>
      </w:pPr>
      <w:r>
        <w:t>BROWN, Simon. The C4 Model for Visualising Software Architecture. c4model.com.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7"/>
      </w:rPr>
      <w:t xml:space="preserve">ESPM  |  Documento de Modelagem e Construção de Software  |  </w:t>
    </w: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8"/>
      </w:rPr>
      <w:t>HESTIA  |  Projeto Integrado IV  |  SCRUM-105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6B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6B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