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AB1DBBD"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1DA7B7C3" w:rsidR="006427F5" w:rsidRPr="003E4133" w:rsidRDefault="00AF44A3" w:rsidP="00E3786B">
      <w:pPr>
        <w:pStyle w:val="ListParagraph"/>
        <w:numPr>
          <w:ilvl w:val="0"/>
          <w:numId w:val="8"/>
        </w:numPr>
        <w:spacing w:line="720" w:lineRule="auto"/>
        <w:outlineLvl w:val="0"/>
        <w:rPr>
          <w:b/>
          <w:color w:val="000000" w:themeColor="text1"/>
        </w:rPr>
      </w:pPr>
      <w:r w:rsidRPr="003E4133">
        <w:rPr>
          <w:b/>
          <w:color w:val="000000" w:themeColor="text1"/>
        </w:rPr>
        <w:lastRenderedPageBreak/>
        <w:t>Introdução</w:t>
      </w:r>
    </w:p>
    <w:p w14:paraId="13366113" w14:textId="77777777" w:rsidR="003267FC" w:rsidRPr="003267FC" w:rsidRDefault="003267FC" w:rsidP="003267FC">
      <w:pPr>
        <w:spacing w:line="360" w:lineRule="auto"/>
        <w:ind w:firstLine="708"/>
        <w:jc w:val="both"/>
        <w:rPr>
          <w:color w:val="000000" w:themeColor="text1"/>
        </w:rPr>
      </w:pPr>
      <w:r w:rsidRPr="003267FC">
        <w:rPr>
          <w:color w:val="000000" w:themeColor="text1"/>
        </w:rPr>
        <w:t>Como parte importante de uma contínua evolução, a tecnologia e a internet têm proporcionado profundas mudanças no mundo – alterando o modo e a velocidade que tais negócios são realizados e firmados. Como consequência direta desta evolução novas técnologias e campos de estudo surgem – Aprendizagem de máquina, por exemplo. Em contraponto os avanços tecnológicos favoreceram também que algumas situações desagradáveis surgissem e passassem à ocorrer com mais frequência – causando transtornos à indivíduos – como, por exemplo, a maior ocorrência de transações fraudulentas – não somente em instituições financeiras mas também em empresas e negócios online.</w:t>
      </w:r>
    </w:p>
    <w:p w14:paraId="2836DEF6" w14:textId="77777777" w:rsidR="003267FC" w:rsidRPr="003267FC" w:rsidRDefault="003267FC" w:rsidP="003267FC">
      <w:pPr>
        <w:spacing w:line="360" w:lineRule="auto"/>
        <w:ind w:firstLine="708"/>
        <w:jc w:val="both"/>
        <w:rPr>
          <w:color w:val="000000" w:themeColor="text1"/>
        </w:rPr>
      </w:pPr>
      <w:r w:rsidRPr="003267FC">
        <w:rPr>
          <w:color w:val="000000" w:themeColor="text1"/>
        </w:rPr>
        <w:tab/>
        <w:t>Com a evolução tecnológica</w:t>
      </w:r>
      <w:commentRangeStart w:id="1"/>
      <w:r w:rsidRPr="003267FC">
        <w:rPr>
          <w:color w:val="000000" w:themeColor="text1"/>
        </w:rPr>
        <w:t>, novas técnicas de inteligência artificial vem sendo desenvolvidas por meios de estudos e treinos para buscar identificar como que uma transação se torna fraudulenta, e, além disso, tornar os sistemas mais seguros, buscando evitar fraudes e quaisquer tipos de problemas que impactam os negócios e os clientes. Pelo fato do número de transações online terem aumentado significativamente e tendem a aumentar ainda mais, a utilização da aprendizagem de máquina para conseguir garantir que não tenham nenhum prejuizo.</w:t>
      </w:r>
      <w:commentRangeEnd w:id="1"/>
      <w:r w:rsidRPr="003267FC">
        <w:rPr>
          <w:color w:val="000000" w:themeColor="text1"/>
        </w:rPr>
        <w:commentReference w:id="1"/>
      </w:r>
    </w:p>
    <w:p w14:paraId="5C143AAA" w14:textId="77777777" w:rsidR="003267FC" w:rsidRPr="003267FC" w:rsidRDefault="003267FC" w:rsidP="003267FC">
      <w:pPr>
        <w:spacing w:after="240" w:line="360" w:lineRule="auto"/>
        <w:ind w:firstLine="708"/>
        <w:jc w:val="both"/>
        <w:rPr>
          <w:color w:val="000000" w:themeColor="text1"/>
        </w:rPr>
      </w:pPr>
      <w:r w:rsidRPr="003267FC">
        <w:rPr>
          <w:color w:val="000000" w:themeColor="text1"/>
        </w:rPr>
        <w:t xml:space="preserve"> Hoje, muito se tem aplicado aprendizagem de maquína para entender e análisar os dados de uma forma mais simples, e fornecer diversos serviços por meio delas. </w:t>
      </w:r>
      <w:commentRangeStart w:id="2"/>
      <w:r w:rsidRPr="003267FC">
        <w:rPr>
          <w:color w:val="000000" w:themeColor="text1"/>
        </w:rPr>
        <w:t>Mas para isso é necessário entender o que é Aprendizagem de Máquina e como é utilizada para identificar uma fraude.</w:t>
      </w:r>
      <w:commentRangeEnd w:id="2"/>
      <w:r w:rsidRPr="003267FC">
        <w:rPr>
          <w:color w:val="000000" w:themeColor="text1"/>
        </w:rPr>
        <w:commentReference w:id="2"/>
      </w:r>
      <w:r w:rsidRPr="003267FC">
        <w:rPr>
          <w:color w:val="000000" w:themeColor="text1"/>
        </w:rPr>
        <w:t xml:space="preserve"> Aprendizagem de Máquina é uma área de inteligência artificial, onde seu principal objetivo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(Weiss &amp; Kulikowski, 1991). Ela vem sendo utilizada para identificar anomalias em documentos, boletos, e nas formas de pagamentos atuais, evitar fraudes em documentações dos clientes, evitar duplicidade de pagamento e garantir a segurança de uma transação.</w:t>
      </w:r>
    </w:p>
    <w:p w14:paraId="73C035EC" w14:textId="3F25A6EA" w:rsidR="003E4133" w:rsidRPr="003E4133" w:rsidRDefault="003E4133" w:rsidP="003267FC">
      <w:pPr>
        <w:spacing w:line="360" w:lineRule="auto"/>
        <w:jc w:val="both"/>
        <w:outlineLvl w:val="0"/>
        <w:rPr>
          <w:bCs/>
          <w:color w:val="000000" w:themeColor="text1"/>
        </w:rPr>
      </w:pPr>
    </w:p>
    <w:p w14:paraId="7958CE1D" w14:textId="57A7289B" w:rsidR="003E4133" w:rsidRDefault="003E4133" w:rsidP="003E4133">
      <w:pPr>
        <w:spacing w:line="600" w:lineRule="auto"/>
        <w:outlineLvl w:val="0"/>
        <w:rPr>
          <w:b/>
          <w:color w:val="000000" w:themeColor="text1"/>
        </w:rPr>
      </w:pPr>
    </w:p>
    <w:p w14:paraId="42CDA032" w14:textId="451AC46B" w:rsidR="00E3786B" w:rsidRDefault="00E3786B" w:rsidP="003E4133">
      <w:pPr>
        <w:spacing w:line="600" w:lineRule="auto"/>
        <w:outlineLvl w:val="0"/>
        <w:rPr>
          <w:b/>
          <w:color w:val="000000" w:themeColor="text1"/>
        </w:rPr>
      </w:pPr>
    </w:p>
    <w:p w14:paraId="2EEE228D" w14:textId="77777777" w:rsidR="003267FC" w:rsidRPr="003E4133" w:rsidRDefault="003267FC" w:rsidP="003E4133">
      <w:pPr>
        <w:spacing w:line="600" w:lineRule="auto"/>
        <w:outlineLvl w:val="0"/>
        <w:rPr>
          <w:b/>
          <w:color w:val="000000" w:themeColor="text1"/>
        </w:rPr>
      </w:pPr>
    </w:p>
    <w:p w14:paraId="6BE42F0F" w14:textId="42F45DFA" w:rsidR="00513638" w:rsidRPr="004A0DE4" w:rsidRDefault="00513638" w:rsidP="00FC30D7">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9B12139"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38A34A2B" w:rsidR="00D0459C" w:rsidRPr="00D0459C" w:rsidRDefault="00222D65"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0466064D">
                <wp:simplePos x="0" y="0"/>
                <wp:positionH relativeFrom="column">
                  <wp:posOffset>0</wp:posOffset>
                </wp:positionH>
                <wp:positionV relativeFrom="paragraph">
                  <wp:posOffset>1847215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7975D"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5.45pt" to="141.8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6B612F2E">
                <wp:simplePos x="0" y="0"/>
                <wp:positionH relativeFrom="margin">
                  <wp:posOffset>-3175</wp:posOffset>
                </wp:positionH>
                <wp:positionV relativeFrom="paragraph">
                  <wp:posOffset>1879600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8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" fillcolor="white [3201]" stroked="f" strokeweight=".5pt">
                <v:textbo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6EE27A70" w:rsidR="00511886" w:rsidRDefault="003267FC"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571E1807">
                <wp:simplePos x="0" y="0"/>
                <wp:positionH relativeFrom="margin">
                  <wp:posOffset>-3175</wp:posOffset>
                </wp:positionH>
                <wp:positionV relativeFrom="paragraph">
                  <wp:posOffset>1520190</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19.7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" fillcolor="white [3201]" stroked="f" strokeweight=".5pt">
                <v:textbo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r w:rsidR="00FC30D7" w:rsidRPr="005E7111">
        <w:rPr>
          <w:bCs/>
          <w:color w:val="000000" w:themeColor="text1"/>
        </w:rPr>
        <mc:AlternateContent>
          <mc:Choice Requires="wps">
            <w:drawing>
              <wp:anchor distT="0" distB="0" distL="114300" distR="114300" simplePos="0" relativeHeight="251704320" behindDoc="0" locked="0" layoutInCell="1" allowOverlap="1" wp14:anchorId="6A4AD486" wp14:editId="018000AB">
                <wp:simplePos x="0" y="0"/>
                <wp:positionH relativeFrom="margin">
                  <wp:posOffset>0</wp:posOffset>
                </wp:positionH>
                <wp:positionV relativeFrom="paragraph">
                  <wp:posOffset>1511300</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1BFD6"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pt" to="141.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" strokecolor="black [3200]" strokeweight=".5pt">
                <v:stroke joinstyle="miter"/>
                <w10:wrap anchorx="margin"/>
              </v:line>
            </w:pict>
          </mc:Fallback>
        </mc:AlternateContent>
      </w:r>
      <w:commentRangeStart w:id="3"/>
      <w:r w:rsidR="00E3786B">
        <w:rPr>
          <w:bCs/>
          <w:color w:val="000000" w:themeColor="text1"/>
        </w:rPr>
        <w:t xml:space="preserve">Pelo baixo desempenho apresentado em problemas de classificação mais complexos – problemas não linearmente separáveis ou </w:t>
      </w:r>
      <w:r w:rsidR="00E3786B">
        <w:rPr>
          <w:bCs/>
          <w:i/>
          <w:iCs/>
          <w:color w:val="000000" w:themeColor="text1"/>
        </w:rPr>
        <w:t xml:space="preserve">datasets </w:t>
      </w:r>
      <w:r w:rsidR="00E3786B">
        <w:rPr>
          <w:bCs/>
          <w:color w:val="000000" w:themeColor="text1"/>
        </w:rPr>
        <w:t xml:space="preserve">com muitos atributos – a evolução natural das Árvores de Decisão são os </w:t>
      </w:r>
      <w:r w:rsidR="00E3786B">
        <w:rPr>
          <w:bCs/>
          <w:i/>
          <w:iCs/>
          <w:color w:val="000000" w:themeColor="text1"/>
        </w:rPr>
        <w:t>Random Forests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commentRangeEnd w:id="3"/>
      <w:r w:rsidR="00E3786B">
        <w:rPr>
          <w:rStyle w:val="CommentReference"/>
        </w:rPr>
        <w:commentReference w:id="3"/>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bookmarkStart w:id="4" w:name="_GoBack"/>
      <w:bookmarkEnd w:id="4"/>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FD4BDD" w:rsidR="001C117E" w:rsidRPr="003974E5" w:rsidRDefault="00250C83" w:rsidP="00573ED1">
      <w:pPr>
        <w:spacing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5"/>
      <w:commentRangeStart w:id="6"/>
      <w:r w:rsidR="00230DAA">
        <w:rPr>
          <w:bCs/>
          <w:color w:val="000000" w:themeColor="text1"/>
        </w:rPr>
        <w:t>que treinam de forma independente uma da outra</w:t>
      </w:r>
      <w:commentRangeEnd w:id="5"/>
      <w:r w:rsidR="00586FD1">
        <w:rPr>
          <w:rStyle w:val="CommentReference"/>
        </w:rPr>
        <w:commentReference w:id="5"/>
      </w:r>
      <w:commentRangeEnd w:id="6"/>
      <w:r w:rsidR="009E606E">
        <w:rPr>
          <w:rStyle w:val="CommentReference"/>
        </w:rPr>
        <w:commentReference w:id="6"/>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CC45FD">
      <w:pPr>
        <w:spacing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0567BBB1" w:rsidR="005608EC" w:rsidRDefault="00760D4E"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70B84436">
                <wp:simplePos x="0" y="0"/>
                <wp:positionH relativeFrom="margin">
                  <wp:posOffset>0</wp:posOffset>
                </wp:positionH>
                <wp:positionV relativeFrom="paragraph">
                  <wp:posOffset>1739265</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D83FA"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95pt" to="141.8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77983B5B">
                <wp:simplePos x="0" y="0"/>
                <wp:positionH relativeFrom="margin">
                  <wp:posOffset>-3175</wp:posOffset>
                </wp:positionH>
                <wp:positionV relativeFrom="paragraph">
                  <wp:posOffset>1750060</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8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" fillcolor="white [3201]" stroked="f" strokeweight=".5pt">
                <v:textbo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613D6F99" w:rsidR="00123E42" w:rsidRDefault="00160920" w:rsidP="00363B36">
      <w:pPr>
        <w:spacing w:line="360" w:lineRule="auto"/>
        <w:ind w:firstLine="720"/>
        <w:jc w:val="both"/>
        <w:rPr>
          <w:bCs/>
          <w:color w:val="000000" w:themeColor="text1"/>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2018).  Nota-se também que os exemplos sintéticos são geradas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4AD12A3F" w14:textId="77777777" w:rsidR="008054BC" w:rsidRPr="000959EF" w:rsidRDefault="008054BC" w:rsidP="008054BC">
      <w:pPr>
        <w:spacing w:line="720" w:lineRule="auto"/>
        <w:outlineLvl w:val="0"/>
        <w:rPr>
          <w:b/>
          <w:color w:val="000000" w:themeColor="text1"/>
          <w:lang w:val="en-US"/>
        </w:rPr>
      </w:pPr>
    </w:p>
    <w:p w14:paraId="3FC1C108" w14:textId="77777777" w:rsidR="008054BC" w:rsidRPr="000959EF" w:rsidRDefault="008054BC" w:rsidP="008054BC">
      <w:pPr>
        <w:spacing w:line="720" w:lineRule="auto"/>
        <w:outlineLvl w:val="0"/>
        <w:rPr>
          <w:b/>
          <w:color w:val="000000" w:themeColor="text1"/>
          <w:lang w:val="en-US"/>
        </w:rPr>
      </w:pPr>
    </w:p>
    <w:p w14:paraId="1B595C36" w14:textId="77777777" w:rsidR="008054BC" w:rsidRPr="000959EF" w:rsidRDefault="008054BC" w:rsidP="008054BC">
      <w:pPr>
        <w:spacing w:line="720" w:lineRule="auto"/>
        <w:outlineLvl w:val="0"/>
        <w:rPr>
          <w:b/>
          <w:color w:val="000000" w:themeColor="text1"/>
          <w:lang w:val="en-US"/>
        </w:rPr>
      </w:pPr>
    </w:p>
    <w:p w14:paraId="21BAD884" w14:textId="77777777" w:rsidR="008054BC" w:rsidRPr="000959EF" w:rsidRDefault="008054BC" w:rsidP="008054BC">
      <w:pPr>
        <w:spacing w:line="720" w:lineRule="auto"/>
        <w:outlineLvl w:val="0"/>
        <w:rPr>
          <w:b/>
          <w:color w:val="000000" w:themeColor="text1"/>
          <w:lang w:val="en-US"/>
        </w:rPr>
      </w:pPr>
    </w:p>
    <w:p w14:paraId="6170C56D" w14:textId="77777777" w:rsidR="008054BC" w:rsidRPr="000959EF" w:rsidRDefault="008054BC" w:rsidP="008054BC">
      <w:pPr>
        <w:spacing w:line="720" w:lineRule="auto"/>
        <w:outlineLvl w:val="0"/>
        <w:rPr>
          <w:b/>
          <w:color w:val="000000" w:themeColor="text1"/>
          <w:lang w:val="en-US"/>
        </w:rPr>
      </w:pPr>
    </w:p>
    <w:p w14:paraId="0C2846C3" w14:textId="77777777" w:rsidR="008054BC" w:rsidRPr="000959EF" w:rsidRDefault="008054BC" w:rsidP="008054BC">
      <w:pPr>
        <w:spacing w:line="720" w:lineRule="auto"/>
        <w:outlineLvl w:val="0"/>
        <w:rPr>
          <w:b/>
          <w:color w:val="000000" w:themeColor="text1"/>
          <w:lang w:val="en-US"/>
        </w:rPr>
      </w:pPr>
    </w:p>
    <w:p w14:paraId="34637EB1" w14:textId="77777777" w:rsidR="008054BC" w:rsidRPr="000959EF" w:rsidRDefault="008054BC" w:rsidP="008054BC">
      <w:pPr>
        <w:spacing w:line="720" w:lineRule="auto"/>
        <w:outlineLvl w:val="0"/>
        <w:rPr>
          <w:b/>
          <w:color w:val="000000" w:themeColor="text1"/>
          <w:lang w:val="en-US"/>
        </w:rPr>
      </w:pPr>
    </w:p>
    <w:p w14:paraId="68CCB2BF" w14:textId="77777777" w:rsidR="008054BC" w:rsidRPr="000959EF" w:rsidRDefault="008054BC" w:rsidP="008054BC">
      <w:pPr>
        <w:spacing w:line="720" w:lineRule="auto"/>
        <w:outlineLvl w:val="0"/>
        <w:rPr>
          <w:b/>
          <w:color w:val="000000" w:themeColor="text1"/>
          <w:lang w:val="en-US"/>
        </w:rPr>
      </w:pPr>
    </w:p>
    <w:p w14:paraId="0C13B70B" w14:textId="77777777" w:rsidR="00FC30D7" w:rsidRPr="000959EF" w:rsidRDefault="00FC30D7" w:rsidP="008054BC">
      <w:pPr>
        <w:spacing w:line="720" w:lineRule="auto"/>
        <w:outlineLvl w:val="0"/>
        <w:rPr>
          <w:b/>
          <w:color w:val="000000" w:themeColor="text1"/>
          <w:lang w:val="en-US"/>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4C38E68D"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7"/>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8E2625" w:rsidRPr="004A0DE4">
        <w:rPr>
          <w:bCs/>
          <w:color w:val="000000" w:themeColor="text1"/>
        </w:rPr>
        <w:t xml:space="preserve">, apenas 0,12% das transações são fraudes em </w:t>
      </w:r>
      <w:r w:rsidR="008E2625" w:rsidRPr="004A0DE4">
        <w:rPr>
          <w:bCs/>
          <w:color w:val="000000" w:themeColor="text1"/>
        </w:rPr>
        <w:lastRenderedPageBreak/>
        <w:t>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7"/>
      <w:r w:rsidR="001346B2">
        <w:rPr>
          <w:rStyle w:val="CommentReference"/>
        </w:rPr>
        <w:commentReference w:id="7"/>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6198119D" w:rsidR="004D48FC" w:rsidRDefault="004D48FC" w:rsidP="0034615C">
      <w:pPr>
        <w:pStyle w:val="ListParagraph"/>
        <w:spacing w:line="480" w:lineRule="auto"/>
        <w:ind w:left="0"/>
        <w:outlineLvl w:val="0"/>
        <w:rPr>
          <w:b/>
          <w:color w:val="000000" w:themeColor="text1"/>
        </w:rPr>
      </w:pPr>
    </w:p>
    <w:p w14:paraId="21E8A34E" w14:textId="77777777" w:rsidR="00FC30D7" w:rsidRDefault="00FC30D7" w:rsidP="0034615C">
      <w:pPr>
        <w:pStyle w:val="ListParagraph"/>
        <w:spacing w:line="480" w:lineRule="auto"/>
        <w:ind w:left="0"/>
        <w:outlineLvl w:val="0"/>
        <w:rPr>
          <w:b/>
          <w:color w:val="000000" w:themeColor="text1"/>
        </w:rPr>
      </w:pPr>
    </w:p>
    <w:p w14:paraId="41049D33" w14:textId="238BA219"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186E9962" w:rsidR="00027EB7" w:rsidRDefault="00027EB7" w:rsidP="00602029">
      <w:pPr>
        <w:pStyle w:val="ListParagraph"/>
        <w:spacing w:after="120"/>
        <w:ind w:left="0"/>
        <w:jc w:val="both"/>
        <w:rPr>
          <w:color w:val="000000" w:themeColor="text1"/>
        </w:rPr>
      </w:pPr>
    </w:p>
    <w:p w14:paraId="65FEFDEB" w14:textId="02601EDB" w:rsidR="00DA2DCF" w:rsidRDefault="00DA2DCF" w:rsidP="00602029">
      <w:pPr>
        <w:pStyle w:val="ListParagraph"/>
        <w:spacing w:after="120"/>
        <w:ind w:left="0"/>
        <w:jc w:val="both"/>
        <w:rPr>
          <w:color w:val="000000" w:themeColor="text1"/>
        </w:rPr>
      </w:pPr>
    </w:p>
    <w:p w14:paraId="3C8C5C0D" w14:textId="77777777" w:rsidR="00DA2DCF" w:rsidRPr="003974E5" w:rsidRDefault="00DA2DCF"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56EEE59" w14:textId="77777777" w:rsidR="004D48FC" w:rsidRPr="00AE063A" w:rsidRDefault="004D48FC" w:rsidP="00D4364A">
      <w:pPr>
        <w:pStyle w:val="ListParagraph"/>
        <w:spacing w:line="480" w:lineRule="auto"/>
        <w:ind w:left="0"/>
        <w:outlineLvl w:val="0"/>
        <w:rPr>
          <w:b/>
          <w:color w:val="000000" w:themeColor="text1"/>
          <w:lang w:val="en-US"/>
        </w:rPr>
      </w:pPr>
    </w:p>
    <w:p w14:paraId="0FF1C69F" w14:textId="554CFC11"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7DBF78C"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os Selmini" w:date="2020-05-08T14:46:00Z" w:initials="MS">
    <w:p w14:paraId="0F1B678C" w14:textId="77777777" w:rsidR="003267FC" w:rsidRDefault="003267FC" w:rsidP="003267FC">
      <w:pPr>
        <w:pStyle w:val="CommentText"/>
      </w:pPr>
      <w:r>
        <w:rPr>
          <w:rStyle w:val="CommentReference"/>
        </w:rPr>
        <w:annotationRef/>
      </w:r>
      <w:r>
        <w:t>Esse parágrafo ficou meio confuso. Eu até entendi o que vc quis dizer, mas acho que seria melhor refazer (agora) ou depois como uma revisão final. Talvez algo do tipo:</w:t>
      </w:r>
    </w:p>
    <w:p w14:paraId="29602CE5" w14:textId="77777777" w:rsidR="003267FC" w:rsidRDefault="003267FC" w:rsidP="003267FC">
      <w:pPr>
        <w:pStyle w:val="CommentText"/>
      </w:pPr>
    </w:p>
    <w:p w14:paraId="69A70828" w14:textId="77777777" w:rsidR="003267FC" w:rsidRDefault="003267FC" w:rsidP="003267FC">
      <w:pPr>
        <w:pStyle w:val="CommentText"/>
      </w:pPr>
      <w:r>
        <w:t>“Com a evolução da tecnologia, novas técnicas podem ser utilizadas .... “</w:t>
      </w:r>
    </w:p>
  </w:comment>
  <w:comment w:id="2" w:author="Marcos Selmini" w:date="2020-05-08T14:49:00Z" w:initials="MS">
    <w:p w14:paraId="47F0E4DC" w14:textId="77777777" w:rsidR="003267FC" w:rsidRDefault="003267FC" w:rsidP="003267FC">
      <w:pPr>
        <w:pStyle w:val="CommentText"/>
      </w:pPr>
      <w:r>
        <w:rPr>
          <w:rStyle w:val="CommentReference"/>
        </w:rPr>
        <w:annotationRef/>
      </w:r>
      <w:r>
        <w:t>Não utilizar a 1ª pessoa .</w:t>
      </w:r>
    </w:p>
  </w:comment>
  <w:comment w:id="3" w:author="Bruno Paes" w:date="2020-05-04T16:21:00Z" w:initials="BP">
    <w:p w14:paraId="410DB7D0" w14:textId="3BE263CE" w:rsidR="00E3786B" w:rsidRPr="00E3786B" w:rsidRDefault="00E3786B">
      <w:pPr>
        <w:pStyle w:val="CommentText"/>
      </w:pPr>
      <w:r>
        <w:rPr>
          <w:rStyle w:val="CommentReference"/>
        </w:rPr>
        <w:annotationRef/>
      </w:r>
      <w:r>
        <w:t>Selmini,</w:t>
      </w:r>
      <w:r>
        <w:br/>
      </w:r>
      <w:r>
        <w:br/>
        <w:t xml:space="preserve">Eu tive bastante dificuldades em remodelar esse parágrafo. Consegui iniciá-lo sem assumir que </w:t>
      </w:r>
      <w:r>
        <w:rPr>
          <w:i/>
          <w:iCs/>
        </w:rPr>
        <w:t xml:space="preserve">Random Forests </w:t>
      </w:r>
      <w:r>
        <w:t>eram multíplas árvores conectadas, mas não consegui enrolar muito mais que isso sem alterar a estrutura do parágrafo.</w:t>
      </w:r>
    </w:p>
  </w:comment>
  <w:comment w:id="5" w:author="Marcos Selmini" w:date="2020-04-20T15:17:00Z" w:initials="MS">
    <w:p w14:paraId="00307546" w14:textId="1CC66DFC" w:rsidR="00586FD1" w:rsidRDefault="00586FD1">
      <w:pPr>
        <w:pStyle w:val="CommentText"/>
      </w:pPr>
      <w:r>
        <w:rPr>
          <w:rStyle w:val="CommentReference"/>
        </w:rPr>
        <w:annotationRef/>
      </w:r>
      <w:r>
        <w:t>... que são treinadas de forma independente uma da outra ...?</w:t>
      </w:r>
    </w:p>
  </w:comment>
  <w:comment w:id="6" w:author=" " w:date="2020-04-28T16:41:00Z" w:initials="BP">
    <w:p w14:paraId="73F315F9" w14:textId="722D6B54" w:rsidR="00F948DE" w:rsidRDefault="009E606E">
      <w:pPr>
        <w:pStyle w:val="CommentText"/>
      </w:pPr>
      <w:r>
        <w:rPr>
          <w:rStyle w:val="CommentReference"/>
        </w:rPr>
        <w:annotationRef/>
      </w:r>
      <w:r>
        <w:t>Sim. Elas treinam de forma independente</w:t>
      </w:r>
      <w:r w:rsidR="00F948DE">
        <w:t>. Cada árvore recebe n features e treina – as outras árvores não influenciam o treinamento dela. Na fase de predição, cada árvore – dentro do ensemble – recebe as n features e faz a classificação e é aí que entra o comite e vota na classe mais classificada.</w:t>
      </w:r>
    </w:p>
  </w:comment>
  <w:comment w:id="7"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A70828" w15:done="0"/>
  <w15:commentEx w15:paraId="47F0E4DC" w15:done="0"/>
  <w15:commentEx w15:paraId="410DB7D0" w15:done="0"/>
  <w15:commentEx w15:paraId="00307546" w15:done="1"/>
  <w15:commentEx w15:paraId="73F315F9" w15:paraIdParent="00307546"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09" w16cex:dateUtc="2020-04-20T17:41:00Z"/>
  <w16cex:commentExtensible w16cex:durableId="2248334C" w16cex:dateUtc="2020-04-20T17:42:00Z"/>
  <w16cex:commentExtensible w16cex:durableId="224833A3" w16cex:dateUtc="2020-04-20T17:43:00Z"/>
  <w16cex:commentExtensible w16cex:durableId="224833F4" w16cex:dateUtc="2020-04-20T17:45:00Z"/>
  <w16cex:commentExtensible w16cex:durableId="22483857" w16cex:dateUtc="2020-04-20T18:03:00Z"/>
  <w16cex:commentExtensible w16cex:durableId="2248344C" w16cex:dateUtc="2020-04-20T17:46:00Z"/>
  <w16cex:commentExtensible w16cex:durableId="224834CF" w16cex:dateUtc="2020-04-20T17:48:00Z"/>
  <w16cex:commentExtensible w16cex:durableId="2248352D" w16cex:dateUtc="2020-04-20T17:50:00Z"/>
  <w16cex:commentExtensible w16cex:durableId="224835AF" w16cex:dateUtc="2020-04-20T17:52:00Z"/>
  <w16cex:commentExtensible w16cex:durableId="22483727" w16cex:dateUtc="2020-04-20T17:58:00Z"/>
  <w16cex:commentExtensible w16cex:durableId="2248365D" w16cex:dateUtc="2020-04-20T17:55:00Z"/>
  <w16cex:commentExtensible w16cex:durableId="224838BE" w16cex:dateUtc="2020-04-20T18:05:00Z"/>
  <w16cex:commentExtensible w16cex:durableId="22483958" w16cex:dateUtc="2020-04-20T18:08:00Z"/>
  <w16cex:commentExtensible w16cex:durableId="224839D5" w16cex:dateUtc="2020-04-20T18:10:00Z"/>
  <w16cex:commentExtensible w16cex:durableId="22483A0B" w16cex:dateUtc="2020-04-20T18:11:00Z"/>
  <w16cex:commentExtensible w16cex:durableId="22483B96" w16cex:dateUtc="2020-04-20T18:17:00Z"/>
  <w16cex:commentExtensible w16cex:durableId="2248400B" w16cex:dateUtc="2020-04-20T18:36:00Z"/>
  <w16cex:commentExtensible w16cex:durableId="22484618" w16cex:dateUtc="2020-04-20T19:02:00Z"/>
  <w16cex:commentExtensible w16cex:durableId="22484733" w16cex:dateUtc="2020-04-2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A70828" w16cid:durableId="225FEF46"/>
  <w16cid:commentId w16cid:paraId="47F0E4DC" w16cid:durableId="225FF000"/>
  <w16cid:commentId w16cid:paraId="410DB7D0" w16cid:durableId="225ABFA2"/>
  <w16cid:commentId w16cid:paraId="00307546" w16cid:durableId="22483B96"/>
  <w16cid:commentId w16cid:paraId="73F315F9" w16cid:durableId="2252DB25"/>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7EA88" w14:textId="77777777" w:rsidR="007C543E" w:rsidRDefault="007C543E" w:rsidP="00DF3F19">
      <w:r>
        <w:separator/>
      </w:r>
    </w:p>
  </w:endnote>
  <w:endnote w:type="continuationSeparator" w:id="0">
    <w:p w14:paraId="7E9F35C1" w14:textId="77777777" w:rsidR="007C543E" w:rsidRDefault="007C543E"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E9D94" w14:textId="77777777" w:rsidR="007C543E" w:rsidRDefault="007C543E" w:rsidP="00DF3F19">
      <w:r>
        <w:separator/>
      </w:r>
    </w:p>
  </w:footnote>
  <w:footnote w:type="continuationSeparator" w:id="0">
    <w:p w14:paraId="31CAAB21" w14:textId="77777777" w:rsidR="007C543E" w:rsidRDefault="007C543E"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782383" w:rsidRDefault="007C543E" w:rsidP="0089240D">
        <w:pPr>
          <w:pStyle w:val="Header"/>
          <w:framePr w:wrap="none" w:vAnchor="text" w:hAnchor="margin" w:xAlign="right" w:y="1"/>
          <w:rPr>
            <w:rStyle w:val="PageNumber"/>
          </w:rPr>
        </w:pP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782383" w:rsidRDefault="00782383" w:rsidP="0089240D">
    <w:pPr>
      <w:pStyle w:val="Header"/>
      <w:framePr w:wrap="none" w:vAnchor="text" w:hAnchor="margin" w:xAlign="right" w:y="1"/>
      <w:rPr>
        <w:rStyle w:val="PageNumber"/>
      </w:rPr>
    </w:pPr>
  </w:p>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s Selmini">
    <w15:presenceInfo w15:providerId="Windows Live" w15:userId="b302228a1a7a850e"/>
  </w15:person>
  <w15:person w15:author="Bruno Paes">
    <w15:presenceInfo w15:providerId="Windows Live" w15:userId="aaded4e4795b4e2b"/>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9EF"/>
    <w:rsid w:val="00095E13"/>
    <w:rsid w:val="0009613D"/>
    <w:rsid w:val="000A0CA5"/>
    <w:rsid w:val="000A35BF"/>
    <w:rsid w:val="000A6361"/>
    <w:rsid w:val="000B0A85"/>
    <w:rsid w:val="000B36CF"/>
    <w:rsid w:val="000B4F11"/>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6402"/>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927BF"/>
    <w:rsid w:val="00193114"/>
    <w:rsid w:val="00193791"/>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67FC"/>
    <w:rsid w:val="003279C7"/>
    <w:rsid w:val="00331CD5"/>
    <w:rsid w:val="00343445"/>
    <w:rsid w:val="00345432"/>
    <w:rsid w:val="0034615C"/>
    <w:rsid w:val="00351935"/>
    <w:rsid w:val="003536CF"/>
    <w:rsid w:val="00353AD8"/>
    <w:rsid w:val="00355DD3"/>
    <w:rsid w:val="00362519"/>
    <w:rsid w:val="00363B36"/>
    <w:rsid w:val="00366F13"/>
    <w:rsid w:val="003757CF"/>
    <w:rsid w:val="00380CD9"/>
    <w:rsid w:val="00381268"/>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4133"/>
    <w:rsid w:val="003E52CE"/>
    <w:rsid w:val="003F2684"/>
    <w:rsid w:val="003F3304"/>
    <w:rsid w:val="003F3805"/>
    <w:rsid w:val="00400F74"/>
    <w:rsid w:val="0040726A"/>
    <w:rsid w:val="0041030B"/>
    <w:rsid w:val="0041167C"/>
    <w:rsid w:val="0041203A"/>
    <w:rsid w:val="004159DC"/>
    <w:rsid w:val="004210E6"/>
    <w:rsid w:val="00423B88"/>
    <w:rsid w:val="004409B9"/>
    <w:rsid w:val="00446D8A"/>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27AF7"/>
    <w:rsid w:val="005305B6"/>
    <w:rsid w:val="00542CE8"/>
    <w:rsid w:val="00542FDE"/>
    <w:rsid w:val="00546F63"/>
    <w:rsid w:val="00552BF5"/>
    <w:rsid w:val="00554F32"/>
    <w:rsid w:val="005569A5"/>
    <w:rsid w:val="00556EDF"/>
    <w:rsid w:val="00557F2D"/>
    <w:rsid w:val="005608EC"/>
    <w:rsid w:val="00564E92"/>
    <w:rsid w:val="005710FF"/>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71D2"/>
    <w:rsid w:val="0079778D"/>
    <w:rsid w:val="007A2B69"/>
    <w:rsid w:val="007A4FC3"/>
    <w:rsid w:val="007C543E"/>
    <w:rsid w:val="007D09F3"/>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20973"/>
    <w:rsid w:val="0082307D"/>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C142C"/>
    <w:rsid w:val="00DC1D7D"/>
    <w:rsid w:val="00DC243B"/>
    <w:rsid w:val="00DC5C6F"/>
    <w:rsid w:val="00DC6F1D"/>
    <w:rsid w:val="00DD00BE"/>
    <w:rsid w:val="00DD225D"/>
    <w:rsid w:val="00DD533A"/>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B704E"/>
    <w:rsid w:val="00FC30D7"/>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B413F-12DD-4839-BDCF-EB30EF0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23</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356</cp:revision>
  <dcterms:created xsi:type="dcterms:W3CDTF">2019-11-01T21:21:00Z</dcterms:created>
  <dcterms:modified xsi:type="dcterms:W3CDTF">2020-05-09T00:44:00Z</dcterms:modified>
</cp:coreProperties>
</file>