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1F3864"/>
          <w:sz w:val="32"/>
          <w:szCs w:val="32"/>
        </w:rPr>
        <w:t xml:space="preserve">ezSaaSApi</w:t>
      </w:r>
    </w:p>
    <w:p>
      <w:pPr>
        <w:spacing w:after="200" w:before="200"/>
        <w:jc w:val="center"/>
      </w:pPr>
      <w:r>
        <w:rPr>
          <w:b/>
          <w:bCs/>
          <w:color w:val="1F3864"/>
          <w:sz w:val="48"/>
          <w:szCs w:val="48"/>
        </w:rPr>
        <w:t xml:space="preserve">SQL Server → PostgreSQL Migration</w:t>
      </w:r>
    </w:p>
    <w:p>
      <w:pPr>
        <w:spacing w:after="800"/>
        <w:jc w:val="center"/>
      </w:pPr>
      <w:r>
        <w:rPr>
          <w:color w:val="44546A"/>
          <w:sz w:val="32"/>
          <w:szCs w:val="32"/>
        </w:rPr>
        <w:t xml:space="preserve">Execution Plan</w:t>
      </w:r>
    </w:p>
    <w:p>
      <w:pPr>
        <w:spacing w:after="80"/>
        <w:jc w:val="center"/>
      </w:pPr>
      <w:r>
        <w:rPr>
          <w:sz w:val="20"/>
          <w:szCs w:val="20"/>
        </w:rPr>
        <w:t xml:space="preserve">Prepared: August 10, 2026</w:t>
      </w:r>
    </w:p>
    <w:p>
      <w:pPr>
        <w:spacing w:after="80"/>
        <w:jc w:val="center"/>
      </w:pPr>
      <w:r>
        <w:rPr>
          <w:sz w:val="20"/>
          <w:szCs w:val="20"/>
        </w:rPr>
        <w:t xml:space="preserve">Scope: SaaSApp.sln (src/ tree) — Catalog + database-per-tenant architecture</w:t>
      </w:r>
    </w:p>
    <w:p>
      <w:pPr>
        <w:spacing w:after="80"/>
        <w:jc w:val="center"/>
      </w:pPr>
      <w:r>
        <w:rPr>
          <w:i/>
          <w:iCs/>
          <w:color w:val="666666"/>
          <w:sz w:val="18"/>
          <w:szCs w:val="18"/>
        </w:rPr>
        <w:t xml:space="preserve">Builds directly on: POSTGRESQL_MIGRATION_ENGINEERING_PLAN.md and SQLSERVER_VS_POSTGRESQL_MIGRATION_PREP.md</w:t>
      </w:r>
    </w:p>
    <w:p>
      <w:r>
        <w:br w:type="page"/>
      </w:r>
    </w:p>
    <w:p>
      <w:pPr>
        <w:pStyle w:val="Heading1"/>
        <w:spacing w:after="160" w:before="360"/>
      </w:pPr>
      <w:r>
        <w:t xml:space="preserve">1. Purpose &amp; How To Use This Document</w:t>
      </w:r>
    </w:p>
    <w:p>
      <w:pPr>
        <w:spacing w:after="160"/>
      </w:pPr>
      <w:r>
        <w:t xml:space="preserve">This is the execution layer on top of two documents already in the repo's docs/ folder: the engineering plan (file-by-file inventory of every SQL Server dependency) and the management prep memo (feasibility, cost, and risk framing). This document does not repeat that inventory — it turns it into something a team can actually run: sequenced phases with durations and owners, a risk register, a verification checklist, and defaults for the open decisions that were blocking the start of work.</w:t>
      </w:r>
    </w:p>
    <w:p>
      <w:pPr>
        <w:spacing w:after="160"/>
      </w:pPr>
      <w:r>
        <w:t xml:space="preserve">Read order for a new team member: prep memo (why) → engineering plan (what, in detail) → this document (how, in order).</w:t>
      </w:r>
    </w:p>
    <w:p>
      <w:pPr>
        <w:spacing w:after="160"/>
      </w:pPr>
      <w:r>
        <w:t xml:space="preserve">Overall effort estimate: 16–20 engineering-weeks (4–5 months) with a 2–3 engineer team, plus QA running in parallel from phase 4 onward. This is a program, not a sprint — consistent with the "High / Very High" difficulty rating in the prep memo. Treat the timeline as provisional until the inputs in Section 7 are filled in.</w:t>
      </w:r>
    </w:p>
    <w:p>
      <w:pPr>
        <w:pStyle w:val="Heading1"/>
        <w:spacing w:after="160" w:before="360"/>
      </w:pPr>
      <w:r>
        <w:t xml:space="preserve">2. Executive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rPr>
          <w:tblHeader/>
        </w:trPr>
        <w:tc>
          <w:tcPr>
            <w:tcW w:type="dxa" w:w="3200"/>
            <w:shd w:fill="1F3864" w:val="clear"/>
            <w:tcMar>
              <w:top w:type="dxa" w:w="80"/>
              <w:left w:type="dxa" w:w="100"/>
              <w:bottom w:type="dxa" w:w="80"/>
              <w:right w:type="dxa" w:w="100"/>
            </w:tcMar>
          </w:tcPr>
          <w:p>
            <w:pPr>
              <w:jc w:val="left"/>
            </w:pPr>
            <w:r>
              <w:rPr>
                <w:b/>
                <w:bCs/>
                <w:color w:val="FFFFFF"/>
                <w:sz w:val="19"/>
                <w:szCs w:val="19"/>
              </w:rPr>
              <w:t xml:space="preserve">Question</w:t>
            </w:r>
          </w:p>
        </w:tc>
        <w:tc>
          <w:tcPr>
            <w:tcW w:type="dxa" w:w="7600"/>
            <w:shd w:fill="1F3864" w:val="clear"/>
            <w:tcMar>
              <w:top w:type="dxa" w:w="80"/>
              <w:left w:type="dxa" w:w="100"/>
              <w:bottom w:type="dxa" w:w="80"/>
              <w:right w:type="dxa" w:w="100"/>
            </w:tcMar>
          </w:tcPr>
          <w:p>
            <w:pPr>
              <w:jc w:val="left"/>
            </w:pPr>
            <w:r>
              <w:rPr>
                <w:b/>
                <w:bCs/>
                <w:color w:val="FFFFFF"/>
                <w:sz w:val="19"/>
                <w:szCs w:val="19"/>
              </w:rPr>
              <w:t xml:space="preserve">Answer</w:t>
            </w:r>
          </w:p>
        </w:tc>
      </w:tr>
      <w:tr>
        <w:tc>
          <w:tcPr>
            <w:tcW w:type="dxa" w:w="3200"/>
            <w:shd w:fill="F2F2F2" w:val="clear"/>
            <w:tcMar>
              <w:top w:type="dxa" w:w="80"/>
              <w:left w:type="dxa" w:w="100"/>
              <w:bottom w:type="dxa" w:w="80"/>
              <w:right w:type="dxa" w:w="100"/>
            </w:tcMar>
          </w:tcPr>
          <w:p>
            <w:pPr>
              <w:jc w:val="left"/>
            </w:pPr>
            <w:r>
              <w:rPr>
                <w:b w:val="false"/>
                <w:bCs w:val="false"/>
                <w:sz w:val="18"/>
                <w:szCs w:val="18"/>
              </w:rPr>
              <w:t xml:space="preserve">What kind of migration is this?</w:t>
            </w:r>
          </w:p>
        </w:tc>
        <w:tc>
          <w:tcPr>
            <w:tcW w:type="dxa" w:w="7600"/>
            <w:shd w:fill="F2F2F2" w:val="clear"/>
            <w:tcMar>
              <w:top w:type="dxa" w:w="80"/>
              <w:left w:type="dxa" w:w="100"/>
              <w:bottom w:type="dxa" w:w="80"/>
              <w:right w:type="dxa" w:w="100"/>
            </w:tcMar>
          </w:tcPr>
          <w:p>
            <w:pPr>
              <w:jc w:val="left"/>
            </w:pPr>
            <w:r>
              <w:rPr>
                <w:b w:val="false"/>
                <w:bCs w:val="false"/>
                <w:sz w:val="18"/>
                <w:szCs w:val="18"/>
              </w:rPr>
              <w:t xml:space="preserve">Full data-platform migration: EF Core provider swap (easy part) + 77 raw-ADO.NET files (~655 SqlConnection/SqlCommand sites) + a bespoke per-tenant dynamic-DDL engine + 55 SQL scripts + Hangfire storage + per-tenant data migration.</w:t>
            </w:r>
          </w:p>
        </w:tc>
      </w:tr>
      <w:tr>
        <w:tc>
          <w:tcPr>
            <w:tcW w:type="dxa" w:w="3200"/>
            <w:shd w:fill="FFFFFF" w:val="clear"/>
            <w:tcMar>
              <w:top w:type="dxa" w:w="80"/>
              <w:left w:type="dxa" w:w="100"/>
              <w:bottom w:type="dxa" w:w="80"/>
              <w:right w:type="dxa" w:w="100"/>
            </w:tcMar>
          </w:tcPr>
          <w:p>
            <w:pPr>
              <w:jc w:val="left"/>
            </w:pPr>
            <w:r>
              <w:rPr>
                <w:b w:val="false"/>
                <w:bCs w:val="false"/>
                <w:sz w:val="18"/>
                <w:szCs w:val="18"/>
              </w:rPr>
              <w:t xml:space="preserve">Is it possible?</w:t>
            </w:r>
          </w:p>
        </w:tc>
        <w:tc>
          <w:tcPr>
            <w:tcW w:type="dxa" w:w="7600"/>
            <w:shd w:fill="FFFFFF" w:val="clear"/>
            <w:tcMar>
              <w:top w:type="dxa" w:w="80"/>
              <w:left w:type="dxa" w:w="100"/>
              <w:bottom w:type="dxa" w:w="80"/>
              <w:right w:type="dxa" w:w="100"/>
            </w:tcMar>
          </w:tcPr>
          <w:p>
            <w:pPr>
              <w:jc w:val="left"/>
            </w:pPr>
            <w:r>
              <w:rPr>
                <w:b w:val="false"/>
                <w:bCs w:val="false"/>
                <w:sz w:val="18"/>
                <w:szCs w:val="18"/>
              </w:rPr>
              <w:t xml:space="preserve">Yes — no architectural blocker in .NET Core, EF Core, or Hangfire. Confirmed swappable providers throughout.</w:t>
            </w:r>
          </w:p>
        </w:tc>
      </w:tr>
      <w:tr>
        <w:tc>
          <w:tcPr>
            <w:tcW w:type="dxa" w:w="3200"/>
            <w:shd w:fill="F2F2F2" w:val="clear"/>
            <w:tcMar>
              <w:top w:type="dxa" w:w="80"/>
              <w:left w:type="dxa" w:w="100"/>
              <w:bottom w:type="dxa" w:w="80"/>
              <w:right w:type="dxa" w:w="100"/>
            </w:tcMar>
          </w:tcPr>
          <w:p>
            <w:pPr>
              <w:jc w:val="left"/>
            </w:pPr>
            <w:r>
              <w:rPr>
                <w:b w:val="false"/>
                <w:bCs w:val="false"/>
                <w:sz w:val="18"/>
                <w:szCs w:val="18"/>
              </w:rPr>
              <w:t xml:space="preserve">Biggest risk item</w:t>
            </w:r>
          </w:p>
        </w:tc>
        <w:tc>
          <w:tcPr>
            <w:tcW w:type="dxa" w:w="7600"/>
            <w:shd w:fill="F2F2F2" w:val="clear"/>
            <w:tcMar>
              <w:top w:type="dxa" w:w="80"/>
              <w:left w:type="dxa" w:w="100"/>
              <w:bottom w:type="dxa" w:w="80"/>
              <w:right w:type="dxa" w:w="100"/>
            </w:tcMar>
          </w:tcPr>
          <w:p>
            <w:pPr>
              <w:jc w:val="left"/>
            </w:pPr>
            <w:r>
              <w:rPr>
                <w:b w:val="false"/>
                <w:bCs w:val="false"/>
                <w:sz w:val="18"/>
                <w:szCs w:val="18"/>
              </w:rPr>
              <w:t xml:space="preserve">The dynamic DDL engine (WorkflowTableCreator.cs, RepositorySqlHelper.cs) that generates T-SQL at runtime per tenant/workflow, and the temporal-table dependency with no native Postgres equivalent.</w:t>
            </w:r>
          </w:p>
        </w:tc>
      </w:tr>
      <w:tr>
        <w:tc>
          <w:tcPr>
            <w:tcW w:type="dxa" w:w="3200"/>
            <w:shd w:fill="FFFFFF" w:val="clear"/>
            <w:tcMar>
              <w:top w:type="dxa" w:w="80"/>
              <w:left w:type="dxa" w:w="100"/>
              <w:bottom w:type="dxa" w:w="80"/>
              <w:right w:type="dxa" w:w="100"/>
            </w:tcMar>
          </w:tcPr>
          <w:p>
            <w:pPr>
              <w:jc w:val="left"/>
            </w:pPr>
            <w:r>
              <w:rPr>
                <w:b w:val="false"/>
                <w:bCs w:val="false"/>
                <w:sz w:val="18"/>
                <w:szCs w:val="18"/>
              </w:rPr>
              <w:t xml:space="preserve">Recommended cutover style</w:t>
            </w:r>
          </w:p>
        </w:tc>
        <w:tc>
          <w:tcPr>
            <w:tcW w:type="dxa" w:w="7600"/>
            <w:shd w:fill="FFFFFF" w:val="clear"/>
            <w:tcMar>
              <w:top w:type="dxa" w:w="80"/>
              <w:left w:type="dxa" w:w="100"/>
              <w:bottom w:type="dxa" w:w="80"/>
              <w:right w:type="dxa" w:w="100"/>
            </w:tcMar>
          </w:tcPr>
          <w:p>
            <w:pPr>
              <w:jc w:val="left"/>
            </w:pPr>
            <w:r>
              <w:rPr>
                <w:b w:val="false"/>
                <w:bCs w:val="false"/>
                <w:sz w:val="18"/>
                <w:szCs w:val="18"/>
              </w:rPr>
              <w:t xml:space="preserve">Phased, per-tenant (the architecture already isolates tenants by connection string — use that). See Decision 6.</w:t>
            </w:r>
          </w:p>
        </w:tc>
      </w:tr>
      <w:tr>
        <w:tc>
          <w:tcPr>
            <w:tcW w:type="dxa" w:w="3200"/>
            <w:shd w:fill="F2F2F2" w:val="clear"/>
            <w:tcMar>
              <w:top w:type="dxa" w:w="80"/>
              <w:left w:type="dxa" w:w="100"/>
              <w:bottom w:type="dxa" w:w="80"/>
              <w:right w:type="dxa" w:w="100"/>
            </w:tcMar>
          </w:tcPr>
          <w:p>
            <w:pPr>
              <w:jc w:val="left"/>
            </w:pPr>
            <w:r>
              <w:rPr>
                <w:b w:val="false"/>
                <w:bCs w:val="false"/>
                <w:sz w:val="18"/>
                <w:szCs w:val="18"/>
              </w:rPr>
              <w:t xml:space="preserve">What blocks starting work today?</w:t>
            </w:r>
          </w:p>
        </w:tc>
        <w:tc>
          <w:tcPr>
            <w:tcW w:type="dxa" w:w="7600"/>
            <w:shd w:fill="F2F2F2" w:val="clear"/>
            <w:tcMar>
              <w:top w:type="dxa" w:w="80"/>
              <w:left w:type="dxa" w:w="100"/>
              <w:bottom w:type="dxa" w:w="80"/>
              <w:right w:type="dxa" w:w="100"/>
            </w:tcMar>
          </w:tcPr>
          <w:p>
            <w:pPr>
              <w:jc w:val="left"/>
            </w:pPr>
            <w:r>
              <w:rPr>
                <w:b w:val="false"/>
                <w:bCs w:val="false"/>
                <w:sz w:val="18"/>
                <w:szCs w:val="18"/>
              </w:rPr>
              <w:t xml:space="preserve">Nothing technical — the 7 open decisions in Section 3 below are the only gate, and each has a recommended default.</w:t>
            </w:r>
          </w:p>
        </w:tc>
      </w:tr>
    </w:tbl>
    <w:p>
      <w:pPr>
        <w:spacing w:after="200"/>
      </w:pPr>
    </w:p>
    <w:p>
      <w:pPr>
        <w:pStyle w:val="Heading1"/>
        <w:spacing w:after="160" w:before="360"/>
      </w:pPr>
      <w:r>
        <w:t xml:space="preserve">3. Resolved Decisions</w:t>
      </w:r>
    </w:p>
    <w:p>
      <w:pPr>
        <w:spacing w:after="160"/>
      </w:pPr>
      <w:r>
        <w:t xml:space="preserve">The engineering plan (§8) listed seven open questions that block detailed implementation work. Each is given a recommended default below so work can start; anything marked "Needs sign-off" should get an explicit yes/no from you or the tech lead before Phase 1 begins — everything else can proceed as-is.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gridCol w:w="1800"/>
      </w:tblGrid>
      <w:tr>
        <w:trPr>
          <w:tblHeader/>
        </w:trPr>
        <w:tc>
          <w:tcPr>
            <w:tcW w:type="dxa" w:w="2000"/>
            <w:shd w:fill="1F3864" w:val="clear"/>
            <w:tcMar>
              <w:top w:type="dxa" w:w="80"/>
              <w:left w:type="dxa" w:w="100"/>
              <w:bottom w:type="dxa" w:w="80"/>
              <w:right w:type="dxa" w:w="100"/>
            </w:tcMar>
          </w:tcPr>
          <w:p>
            <w:pPr>
              <w:jc w:val="left"/>
            </w:pPr>
            <w:r>
              <w:rPr>
                <w:b/>
                <w:bCs/>
                <w:color w:val="FFFFFF"/>
                <w:sz w:val="19"/>
                <w:szCs w:val="19"/>
              </w:rPr>
              <w:t xml:space="preserve">Decision</w:t>
            </w:r>
          </w:p>
        </w:tc>
        <w:tc>
          <w:tcPr>
            <w:tcW w:type="dxa" w:w="3400"/>
            <w:shd w:fill="1F3864" w:val="clear"/>
            <w:tcMar>
              <w:top w:type="dxa" w:w="80"/>
              <w:left w:type="dxa" w:w="100"/>
              <w:bottom w:type="dxa" w:w="80"/>
              <w:right w:type="dxa" w:w="100"/>
            </w:tcMar>
          </w:tcPr>
          <w:p>
            <w:pPr>
              <w:jc w:val="left"/>
            </w:pPr>
            <w:r>
              <w:rPr>
                <w:b/>
                <w:bCs/>
                <w:color w:val="FFFFFF"/>
                <w:sz w:val="19"/>
                <w:szCs w:val="19"/>
              </w:rPr>
              <w:t xml:space="preserve">Recommended default</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Why</w:t>
            </w:r>
          </w:p>
        </w:tc>
        <w:tc>
          <w:tcPr>
            <w:tcW w:type="dxa" w:w="1800"/>
            <w:shd w:fill="1F3864" w:val="clear"/>
            <w:tcMar>
              <w:top w:type="dxa" w:w="80"/>
              <w:left w:type="dxa" w:w="100"/>
              <w:bottom w:type="dxa" w:w="80"/>
              <w:right w:type="dxa" w:w="100"/>
            </w:tcMar>
          </w:tcPr>
          <w:p>
            <w:pPr>
              <w:jc w:val="left"/>
            </w:pPr>
            <w:r>
              <w:rPr>
                <w:b/>
                <w:bCs/>
                <w:color w:val="FFFFFF"/>
                <w:sz w:val="19"/>
                <w:szCs w:val="19"/>
              </w:rPr>
              <w:t xml:space="preserve">Status</w:t>
            </w:r>
          </w:p>
        </w:tc>
      </w:tr>
      <w:tr>
        <w:tc>
          <w:tcPr>
            <w:tcW w:type="dxa" w:w="2000"/>
            <w:shd w:fill="F2F2F2" w:val="clear"/>
            <w:tcMar>
              <w:top w:type="dxa" w:w="80"/>
              <w:left w:type="dxa" w:w="100"/>
              <w:bottom w:type="dxa" w:w="80"/>
              <w:right w:type="dxa" w:w="100"/>
            </w:tcMar>
          </w:tcPr>
          <w:p>
            <w:pPr>
              <w:jc w:val="left"/>
            </w:pPr>
            <w:r>
              <w:rPr>
                <w:b w:val="false"/>
                <w:bCs w:val="false"/>
                <w:sz w:val="18"/>
                <w:szCs w:val="18"/>
              </w:rPr>
              <w:t xml:space="preserve">1. Identifier casing</w:t>
            </w:r>
          </w:p>
        </w:tc>
        <w:tc>
          <w:tcPr>
            <w:tcW w:type="dxa" w:w="3400"/>
            <w:shd w:fill="F2F2F2" w:val="clear"/>
            <w:tcMar>
              <w:top w:type="dxa" w:w="80"/>
              <w:left w:type="dxa" w:w="100"/>
              <w:bottom w:type="dxa" w:w="80"/>
              <w:right w:type="dxa" w:w="100"/>
            </w:tcMar>
          </w:tcPr>
          <w:p>
            <w:pPr>
              <w:jc w:val="left"/>
            </w:pPr>
            <w:r>
              <w:rPr>
                <w:b w:val="false"/>
                <w:bCs w:val="false"/>
                <w:sz w:val="18"/>
                <w:szCs w:val="18"/>
              </w:rPr>
              <w:t xml:space="preserve">Adopt snake_case for all new/regenerated Postgres schema (EF via EFCore.NamingConventions; dynamic DDL emits lowercase directly). Quote defensively everywhere regardless.</w:t>
            </w:r>
          </w:p>
        </w:tc>
        <w:tc>
          <w:tcPr>
            <w:tcW w:type="dxa" w:w="3600"/>
            <w:shd w:fill="F2F2F2" w:val="clear"/>
            <w:tcMar>
              <w:top w:type="dxa" w:w="80"/>
              <w:left w:type="dxa" w:w="100"/>
              <w:bottom w:type="dxa" w:w="80"/>
              <w:right w:type="dxa" w:w="100"/>
            </w:tcMar>
          </w:tcPr>
          <w:p>
            <w:pPr>
              <w:jc w:val="left"/>
            </w:pPr>
            <w:r>
              <w:rPr>
                <w:b w:val="false"/>
                <w:bCs w:val="false"/>
                <w:sz w:val="18"/>
                <w:szCs w:val="18"/>
              </w:rPr>
              <w:t xml:space="preserve">Native to Postgres, avoids the case-sensitivity trap called out in the engineering plan §7.6 on every hand-written query and every dynamically built DDL string.</w:t>
            </w:r>
          </w:p>
        </w:tc>
        <w:tc>
          <w:tcPr>
            <w:tcW w:type="dxa" w:w="1800"/>
            <w:shd w:fill="F2F2F2" w:val="clear"/>
            <w:tcMar>
              <w:top w:type="dxa" w:w="80"/>
              <w:left w:type="dxa" w:w="100"/>
              <w:bottom w:type="dxa" w:w="80"/>
              <w:right w:type="dxa" w:w="100"/>
            </w:tcMar>
          </w:tcPr>
          <w:p>
            <w:pPr>
              <w:jc w:val="left"/>
            </w:pPr>
            <w:r>
              <w:rPr>
                <w:b w:val="false"/>
                <w:bCs w:val="false"/>
                <w:sz w:val="18"/>
                <w:szCs w:val="18"/>
              </w:rPr>
              <w:t xml:space="preserve">Needs sign-off</w:t>
            </w:r>
          </w:p>
        </w:tc>
      </w:tr>
      <w:tr>
        <w:tc>
          <w:tcPr>
            <w:tcW w:type="dxa" w:w="2000"/>
            <w:shd w:fill="FFFFFF" w:val="clear"/>
            <w:tcMar>
              <w:top w:type="dxa" w:w="80"/>
              <w:left w:type="dxa" w:w="100"/>
              <w:bottom w:type="dxa" w:w="80"/>
              <w:right w:type="dxa" w:w="100"/>
            </w:tcMar>
          </w:tcPr>
          <w:p>
            <w:pPr>
              <w:jc w:val="left"/>
            </w:pPr>
            <w:r>
              <w:rPr>
                <w:b w:val="false"/>
                <w:bCs w:val="false"/>
                <w:sz w:val="18"/>
                <w:szCs w:val="18"/>
              </w:rPr>
              <w:t xml:space="preserve">2. Temporal table replacement</w:t>
            </w:r>
          </w:p>
        </w:tc>
        <w:tc>
          <w:tcPr>
            <w:tcW w:type="dxa" w:w="3400"/>
            <w:shd w:fill="FFFFFF" w:val="clear"/>
            <w:tcMar>
              <w:top w:type="dxa" w:w="80"/>
              <w:left w:type="dxa" w:w="100"/>
              <w:bottom w:type="dxa" w:w="80"/>
              <w:right w:type="dxa" w:w="100"/>
            </w:tcMar>
          </w:tcPr>
          <w:p>
            <w:pPr>
              <w:jc w:val="left"/>
            </w:pPr>
            <w:r>
              <w:rPr>
                <w:b w:val="false"/>
                <w:bCs w:val="false"/>
                <w:sz w:val="18"/>
                <w:szCs w:val="18"/>
              </w:rPr>
              <w:t xml:space="preserve">Trigger-based history table (AFTER UPDATE/DELETE trigger copies the prior row into WorkflowInstancesHistory) for workflow.WorkflowInstances and the one legacy script instance.</w:t>
            </w:r>
          </w:p>
        </w:tc>
        <w:tc>
          <w:tcPr>
            <w:tcW w:type="dxa" w:w="3600"/>
            <w:shd w:fill="FFFFFF" w:val="clear"/>
            <w:tcMar>
              <w:top w:type="dxa" w:w="80"/>
              <w:left w:type="dxa" w:w="100"/>
              <w:bottom w:type="dxa" w:w="80"/>
              <w:right w:type="dxa" w:w="100"/>
            </w:tcMar>
          </w:tcPr>
          <w:p>
            <w:pPr>
              <w:jc w:val="left"/>
            </w:pPr>
            <w:r>
              <w:rPr>
                <w:b w:val="false"/>
                <w:bCs w:val="false"/>
                <w:sz w:val="18"/>
                <w:szCs w:val="18"/>
              </w:rPr>
              <w:t xml:space="preserve">Closest behavioral match to SQL Server system-versioning; no dependency on a non-core extension that may not be available on every managed Postgres offering.</w:t>
            </w:r>
          </w:p>
        </w:tc>
        <w:tc>
          <w:tcPr>
            <w:tcW w:type="dxa" w:w="1800"/>
            <w:shd w:fill="FFFFFF" w:val="clear"/>
            <w:tcMar>
              <w:top w:type="dxa" w:w="80"/>
              <w:left w:type="dxa" w:w="100"/>
              <w:bottom w:type="dxa" w:w="80"/>
              <w:right w:type="dxa" w:w="100"/>
            </w:tcMar>
          </w:tcPr>
          <w:p>
            <w:pPr>
              <w:jc w:val="left"/>
            </w:pPr>
            <w:r>
              <w:rPr>
                <w:b w:val="false"/>
                <w:bCs w:val="false"/>
                <w:sz w:val="18"/>
                <w:szCs w:val="18"/>
              </w:rPr>
              <w:t xml:space="preserve">Needs sign-off</w:t>
            </w:r>
          </w:p>
        </w:tc>
      </w:tr>
      <w:tr>
        <w:tc>
          <w:tcPr>
            <w:tcW w:type="dxa" w:w="2000"/>
            <w:shd w:fill="F2F2F2" w:val="clear"/>
            <w:tcMar>
              <w:top w:type="dxa" w:w="80"/>
              <w:left w:type="dxa" w:w="100"/>
              <w:bottom w:type="dxa" w:w="80"/>
              <w:right w:type="dxa" w:w="100"/>
            </w:tcMar>
          </w:tcPr>
          <w:p>
            <w:pPr>
              <w:jc w:val="left"/>
            </w:pPr>
            <w:r>
              <w:rPr>
                <w:b w:val="false"/>
                <w:bCs w:val="false"/>
                <w:sz w:val="18"/>
                <w:szCs w:val="18"/>
              </w:rPr>
              <w:t xml:space="preserve">3. Billing / Reporting EF references</w:t>
            </w:r>
          </w:p>
        </w:tc>
        <w:tc>
          <w:tcPr>
            <w:tcW w:type="dxa" w:w="3400"/>
            <w:shd w:fill="F2F2F2" w:val="clear"/>
            <w:tcMar>
              <w:top w:type="dxa" w:w="80"/>
              <w:left w:type="dxa" w:w="100"/>
              <w:bottom w:type="dxa" w:w="80"/>
              <w:right w:type="dxa" w:w="100"/>
            </w:tcMar>
          </w:tcPr>
          <w:p>
            <w:pPr>
              <w:jc w:val="left"/>
            </w:pPr>
            <w:r>
              <w:rPr>
                <w:b w:val="false"/>
                <w:bCs w:val="false"/>
                <w:sz w:val="18"/>
                <w:szCs w:val="18"/>
              </w:rPr>
              <w:t xml:space="preserve">Split finding from Phase 0: Reporting.Infrastructure confirmed dead (AddReportingInfrastructure() is a no-op) — drop its SqlServer EF package references. Billing.Infrastructure is NOT dead — CreditService.cs uses IDbContextFactory&lt;CatalogDbContext&gt; plus 3 raw SqlConnection/SqlCommand sites. Treat it as a full migration target like every other module.</w:t>
            </w:r>
          </w:p>
        </w:tc>
        <w:tc>
          <w:tcPr>
            <w:tcW w:type="dxa" w:w="3600"/>
            <w:shd w:fill="F2F2F2" w:val="clear"/>
            <w:tcMar>
              <w:top w:type="dxa" w:w="80"/>
              <w:left w:type="dxa" w:w="100"/>
              <w:bottom w:type="dxa" w:w="80"/>
              <w:right w:type="dxa" w:w="100"/>
            </w:tcMar>
          </w:tcPr>
          <w:p>
            <w:pPr>
              <w:jc w:val="left"/>
            </w:pPr>
            <w:r>
              <w:rPr>
                <w:b w:val="false"/>
                <w:bCs w:val="false"/>
                <w:sz w:val="18"/>
                <w:szCs w:val="18"/>
              </w:rPr>
              <w:t xml:space="preserve">Engineering plan assumed both were unused; Phase 0's grep confirmed that only for Reporting.</w:t>
            </w:r>
          </w:p>
        </w:tc>
        <w:tc>
          <w:tcPr>
            <w:tcW w:type="dxa" w:w="1800"/>
            <w:shd w:fill="F2F2F2" w:val="clear"/>
            <w:tcMar>
              <w:top w:type="dxa" w:w="80"/>
              <w:left w:type="dxa" w:w="100"/>
              <w:bottom w:type="dxa" w:w="80"/>
              <w:right w:type="dxa" w:w="100"/>
            </w:tcMar>
          </w:tcPr>
          <w:p>
            <w:pPr>
              <w:jc w:val="left"/>
            </w:pPr>
            <w:r>
              <w:rPr>
                <w:b w:val="false"/>
                <w:bCs w:val="false"/>
                <w:sz w:val="18"/>
                <w:szCs w:val="18"/>
              </w:rPr>
              <w:t xml:space="preserve">Resolved in Phase 0</w:t>
            </w:r>
          </w:p>
        </w:tc>
      </w:tr>
      <w:tr>
        <w:tc>
          <w:tcPr>
            <w:tcW w:type="dxa" w:w="2000"/>
            <w:shd w:fill="FFFFFF" w:val="clear"/>
            <w:tcMar>
              <w:top w:type="dxa" w:w="80"/>
              <w:left w:type="dxa" w:w="100"/>
              <w:bottom w:type="dxa" w:w="80"/>
              <w:right w:type="dxa" w:w="100"/>
            </w:tcMar>
          </w:tcPr>
          <w:p>
            <w:pPr>
              <w:jc w:val="left"/>
            </w:pPr>
            <w:r>
              <w:rPr>
                <w:b w:val="false"/>
                <w:bCs w:val="false"/>
                <w:sz w:val="18"/>
                <w:szCs w:val="18"/>
              </w:rPr>
              <w:t xml:space="preserve">4. WorkflowDbContext migration strategy</w:t>
            </w:r>
          </w:p>
        </w:tc>
        <w:tc>
          <w:tcPr>
            <w:tcW w:type="dxa" w:w="3400"/>
            <w:shd w:fill="FFFFFF" w:val="clear"/>
            <w:tcMar>
              <w:top w:type="dxa" w:w="80"/>
              <w:left w:type="dxa" w:w="100"/>
              <w:bottom w:type="dxa" w:w="80"/>
              <w:right w:type="dxa" w:w="100"/>
            </w:tcMar>
          </w:tcPr>
          <w:p>
            <w:pPr>
              <w:jc w:val="left"/>
            </w:pPr>
            <w:r>
              <w:rPr>
                <w:b w:val="false"/>
                <w:bCs w:val="false"/>
                <w:sz w:val="18"/>
                <w:szCs w:val="18"/>
              </w:rPr>
              <w:t xml:space="preserve">Stay script-first: port CreateWorkflowSchemaComplete.sql directly to Postgres DDL rather than introducing EF migrations for this context now.</w:t>
            </w:r>
          </w:p>
        </w:tc>
        <w:tc>
          <w:tcPr>
            <w:tcW w:type="dxa" w:w="3600"/>
            <w:shd w:fill="FFFFFF" w:val="clear"/>
            <w:tcMar>
              <w:top w:type="dxa" w:w="80"/>
              <w:left w:type="dxa" w:w="100"/>
              <w:bottom w:type="dxa" w:w="80"/>
              <w:right w:type="dxa" w:w="100"/>
            </w:tcMar>
          </w:tcPr>
          <w:p>
            <w:pPr>
              <w:jc w:val="left"/>
            </w:pPr>
            <w:r>
              <w:rPr>
                <w:b w:val="false"/>
                <w:bCs w:val="false"/>
                <w:sz w:val="18"/>
                <w:szCs w:val="18"/>
              </w:rPr>
              <w:t xml:space="preserve">Avoids stacking an EF-migrations-adoption project on top of an engine migration; the temporal-table and dynamic-table dependencies already sit on the script-first path.</w:t>
            </w:r>
          </w:p>
        </w:tc>
        <w:tc>
          <w:tcPr>
            <w:tcW w:type="dxa" w:w="1800"/>
            <w:shd w:fill="FFFFFF" w:val="clear"/>
            <w:tcMar>
              <w:top w:type="dxa" w:w="80"/>
              <w:left w:type="dxa" w:w="100"/>
              <w:bottom w:type="dxa" w:w="80"/>
              <w:right w:type="dxa" w:w="100"/>
            </w:tcMar>
          </w:tcPr>
          <w:p>
            <w:pPr>
              <w:jc w:val="left"/>
            </w:pPr>
            <w:r>
              <w:rPr>
                <w:b w:val="false"/>
                <w:bCs w:val="false"/>
                <w:sz w:val="18"/>
                <w:szCs w:val="18"/>
              </w:rPr>
              <w:t xml:space="preserve">Recommended, low controversy</w:t>
            </w:r>
          </w:p>
        </w:tc>
      </w:tr>
      <w:tr>
        <w:tc>
          <w:tcPr>
            <w:tcW w:type="dxa" w:w="2000"/>
            <w:shd w:fill="F2F2F2" w:val="clear"/>
            <w:tcMar>
              <w:top w:type="dxa" w:w="80"/>
              <w:left w:type="dxa" w:w="100"/>
              <w:bottom w:type="dxa" w:w="80"/>
              <w:right w:type="dxa" w:w="100"/>
            </w:tcMar>
          </w:tcPr>
          <w:p>
            <w:pPr>
              <w:jc w:val="left"/>
            </w:pPr>
            <w:r>
              <w:rPr>
                <w:b w:val="false"/>
                <w:bCs w:val="false"/>
                <w:sz w:val="18"/>
                <w:szCs w:val="18"/>
              </w:rPr>
              <w:t xml:space="preserve">5. "All-tenants" script runners</w:t>
            </w:r>
          </w:p>
        </w:tc>
        <w:tc>
          <w:tcPr>
            <w:tcW w:type="dxa" w:w="3400"/>
            <w:shd w:fill="F2F2F2" w:val="clear"/>
            <w:tcMar>
              <w:top w:type="dxa" w:w="80"/>
              <w:left w:type="dxa" w:w="100"/>
              <w:bottom w:type="dxa" w:w="80"/>
              <w:right w:type="dxa" w:w="100"/>
            </w:tcMar>
          </w:tcPr>
          <w:p>
            <w:pPr>
              <w:jc w:val="left"/>
            </w:pPr>
            <w:r>
              <w:rPr>
                <w:b w:val="false"/>
                <w:bCs w:val="false"/>
                <w:sz w:val="18"/>
                <w:szCs w:val="18"/>
              </w:rPr>
              <w:t xml:space="preserve">Keep the existing PowerShell-loop pattern for Postgres through the migration; do not fold into EF migrations mid-program. Revisit unification as a post-migration improvement.</w:t>
            </w:r>
          </w:p>
        </w:tc>
        <w:tc>
          <w:tcPr>
            <w:tcW w:type="dxa" w:w="3600"/>
            <w:shd w:fill="F2F2F2" w:val="clear"/>
            <w:tcMar>
              <w:top w:type="dxa" w:w="80"/>
              <w:left w:type="dxa" w:w="100"/>
              <w:bottom w:type="dxa" w:w="80"/>
              <w:right w:type="dxa" w:w="100"/>
            </w:tcMar>
          </w:tcPr>
          <w:p>
            <w:pPr>
              <w:jc w:val="left"/>
            </w:pPr>
            <w:r>
              <w:rPr>
                <w:b w:val="false"/>
                <w:bCs w:val="false"/>
                <w:sz w:val="18"/>
                <w:szCs w:val="18"/>
              </w:rPr>
              <w:t xml:space="preserve">Reduces scope during the highest-risk window; the 25 Add*/Alter*/AllTenants.sql scripts already work as a mechanism, they just need a Postgres dialect.</w:t>
            </w:r>
          </w:p>
        </w:tc>
        <w:tc>
          <w:tcPr>
            <w:tcW w:type="dxa" w:w="1800"/>
            <w:shd w:fill="F2F2F2" w:val="clear"/>
            <w:tcMar>
              <w:top w:type="dxa" w:w="80"/>
              <w:left w:type="dxa" w:w="100"/>
              <w:bottom w:type="dxa" w:w="80"/>
              <w:right w:type="dxa" w:w="100"/>
            </w:tcMar>
          </w:tcPr>
          <w:p>
            <w:pPr>
              <w:jc w:val="left"/>
            </w:pPr>
            <w:r>
              <w:rPr>
                <w:b w:val="false"/>
                <w:bCs w:val="false"/>
                <w:sz w:val="18"/>
                <w:szCs w:val="18"/>
              </w:rPr>
              <w:t xml:space="preserve">Recommended</w:t>
            </w:r>
          </w:p>
        </w:tc>
      </w:tr>
      <w:tr>
        <w:tc>
          <w:tcPr>
            <w:tcW w:type="dxa" w:w="2000"/>
            <w:shd w:fill="FFFFFF" w:val="clear"/>
            <w:tcMar>
              <w:top w:type="dxa" w:w="80"/>
              <w:left w:type="dxa" w:w="100"/>
              <w:bottom w:type="dxa" w:w="80"/>
              <w:right w:type="dxa" w:w="100"/>
            </w:tcMar>
          </w:tcPr>
          <w:p>
            <w:pPr>
              <w:jc w:val="left"/>
            </w:pPr>
            <w:r>
              <w:rPr>
                <w:b w:val="false"/>
                <w:bCs w:val="false"/>
                <w:sz w:val="18"/>
                <w:szCs w:val="18"/>
              </w:rPr>
              <w:t xml:space="preserve">6. Migration / cutover style</w:t>
            </w:r>
          </w:p>
        </w:tc>
        <w:tc>
          <w:tcPr>
            <w:tcW w:type="dxa" w:w="3400"/>
            <w:shd w:fill="FFFFFF" w:val="clear"/>
            <w:tcMar>
              <w:top w:type="dxa" w:w="80"/>
              <w:left w:type="dxa" w:w="100"/>
              <w:bottom w:type="dxa" w:w="80"/>
              <w:right w:type="dxa" w:w="100"/>
            </w:tcMar>
          </w:tcPr>
          <w:p>
            <w:pPr>
              <w:jc w:val="left"/>
            </w:pPr>
            <w:r>
              <w:rPr>
                <w:b w:val="false"/>
                <w:bCs w:val="false"/>
                <w:sz w:val="18"/>
                <w:szCs w:val="18"/>
              </w:rPr>
              <w:t xml:space="preserve">Phased, per-tenant. Migrate and cut over one tenant DB at a time by rewriting its Catalog.dbo.Tenants.ConnectionString row; start with 1–2 low-traffic pilot tenants.</w:t>
            </w:r>
          </w:p>
        </w:tc>
        <w:tc>
          <w:tcPr>
            <w:tcW w:type="dxa" w:w="3600"/>
            <w:shd w:fill="FFFFFF" w:val="clear"/>
            <w:tcMar>
              <w:top w:type="dxa" w:w="80"/>
              <w:left w:type="dxa" w:w="100"/>
              <w:bottom w:type="dxa" w:w="80"/>
              <w:right w:type="dxa" w:w="100"/>
            </w:tcMar>
          </w:tcPr>
          <w:p>
            <w:pPr>
              <w:jc w:val="left"/>
            </w:pPr>
            <w:r>
              <w:rPr>
                <w:b w:val="false"/>
                <w:bCs w:val="false"/>
                <w:sz w:val="18"/>
                <w:szCs w:val="18"/>
              </w:rPr>
              <w:t xml:space="preserve">The database-per-tenant architecture already makes each tenant's cutover independent — big-bang would add risk for no structural benefit.</w:t>
            </w:r>
          </w:p>
        </w:tc>
        <w:tc>
          <w:tcPr>
            <w:tcW w:type="dxa" w:w="1800"/>
            <w:shd w:fill="FFFFFF" w:val="clear"/>
            <w:tcMar>
              <w:top w:type="dxa" w:w="80"/>
              <w:left w:type="dxa" w:w="100"/>
              <w:bottom w:type="dxa" w:w="80"/>
              <w:right w:type="dxa" w:w="100"/>
            </w:tcMar>
          </w:tcPr>
          <w:p>
            <w:pPr>
              <w:jc w:val="left"/>
            </w:pPr>
            <w:r>
              <w:rPr>
                <w:b w:val="false"/>
                <w:bCs w:val="false"/>
                <w:sz w:val="18"/>
                <w:szCs w:val="18"/>
              </w:rPr>
              <w:t xml:space="preserve">Needs business sign-off (downtime tolerance, tenant count, sequencing)</w:t>
            </w:r>
          </w:p>
        </w:tc>
      </w:tr>
      <w:tr>
        <w:tc>
          <w:tcPr>
            <w:tcW w:type="dxa" w:w="2000"/>
            <w:shd w:fill="F2F2F2" w:val="clear"/>
            <w:tcMar>
              <w:top w:type="dxa" w:w="80"/>
              <w:left w:type="dxa" w:w="100"/>
              <w:bottom w:type="dxa" w:w="80"/>
              <w:right w:type="dxa" w:w="100"/>
            </w:tcMar>
          </w:tcPr>
          <w:p>
            <w:pPr>
              <w:jc w:val="left"/>
            </w:pPr>
            <w:r>
              <w:rPr>
                <w:b w:val="false"/>
                <w:bCs w:val="false"/>
                <w:sz w:val="18"/>
                <w:szCs w:val="18"/>
              </w:rPr>
              <w:t xml:space="preserve">7. Pre-migration cleanup</w:t>
            </w:r>
          </w:p>
        </w:tc>
        <w:tc>
          <w:tcPr>
            <w:tcW w:type="dxa" w:w="3400"/>
            <w:shd w:fill="F2F2F2" w:val="clear"/>
            <w:tcMar>
              <w:top w:type="dxa" w:w="80"/>
              <w:left w:type="dxa" w:w="100"/>
              <w:bottom w:type="dxa" w:w="80"/>
              <w:right w:type="dxa" w:w="100"/>
            </w:tcMar>
          </w:tcPr>
          <w:p>
            <w:pPr>
              <w:jc w:val="left"/>
            </w:pPr>
            <w:r>
              <w:rPr>
                <w:b w:val="false"/>
                <w:bCs w:val="false"/>
                <w:sz w:val="18"/>
                <w:szCs w:val="18"/>
              </w:rPr>
              <w:t xml:space="preserve">Delete/archive the stale v6Api/ nested clone, reconcile the 3 scripts that exist only under src/Api/scripts/ into scripts/, remove the unreferenced eztapicontext connection string.</w:t>
            </w:r>
          </w:p>
        </w:tc>
        <w:tc>
          <w:tcPr>
            <w:tcW w:type="dxa" w:w="3600"/>
            <w:shd w:fill="F2F2F2" w:val="clear"/>
            <w:tcMar>
              <w:top w:type="dxa" w:w="80"/>
              <w:left w:type="dxa" w:w="100"/>
              <w:bottom w:type="dxa" w:w="80"/>
              <w:right w:type="dxa" w:w="100"/>
            </w:tcMar>
          </w:tcPr>
          <w:p>
            <w:pPr>
              <w:jc w:val="left"/>
            </w:pPr>
            <w:r>
              <w:rPr>
                <w:b w:val="false"/>
                <w:bCs w:val="false"/>
                <w:sz w:val="18"/>
                <w:szCs w:val="18"/>
              </w:rPr>
              <w:t xml:space="preserve">No functional downside; removes ambiguity about which files are the source of truth before the file-by-file work in Phase 3–4 starts.</w:t>
            </w:r>
          </w:p>
        </w:tc>
        <w:tc>
          <w:tcPr>
            <w:tcW w:type="dxa" w:w="1800"/>
            <w:shd w:fill="F2F2F2" w:val="clear"/>
            <w:tcMar>
              <w:top w:type="dxa" w:w="80"/>
              <w:left w:type="dxa" w:w="100"/>
              <w:bottom w:type="dxa" w:w="80"/>
              <w:right w:type="dxa" w:w="100"/>
            </w:tcMar>
          </w:tcPr>
          <w:p>
            <w:pPr>
              <w:jc w:val="left"/>
            </w:pPr>
            <w:r>
              <w:rPr>
                <w:b w:val="false"/>
                <w:bCs w:val="false"/>
                <w:sz w:val="18"/>
                <w:szCs w:val="18"/>
              </w:rPr>
              <w:t xml:space="preserve">No sign-off needed — just do it</w:t>
            </w:r>
          </w:p>
        </w:tc>
      </w:tr>
    </w:tbl>
    <w:p>
      <w:pPr>
        <w:spacing w:after="200"/>
      </w:pPr>
    </w:p>
    <w:p>
      <w:pPr>
        <w:pStyle w:val="Heading2"/>
        <w:spacing w:after="120" w:before="280"/>
      </w:pPr>
      <w:r>
        <w:t xml:space="preserve">3.1 Execution log (rolling — updated as each phase lands)</w:t>
      </w:r>
    </w:p>
    <w:p>
      <w:pPr>
        <w:spacing w:after="160"/>
      </w:pPr>
      <w:r>
        <w:t xml:space="preserve">This section accumulates real findings from each phase as it's executed, so anyone picking this document up mid-program sees where reality diverged from the original plan and why.</w:t>
      </w:r>
    </w:p>
    <w:p>
      <w:pPr>
        <w:spacing w:after="160"/>
      </w:pPr>
      <w:r>
        <w:rPr>
          <w:b/>
          <w:bCs/>
        </w:rPr>
        <w:t xml:space="preserve">Phase 0 (August 10, 2026) — decisions 1, 2, and 6 accepted as-is, no override.</w:t>
      </w:r>
    </w:p>
    <w:p>
      <w:pPr>
        <w:pStyle w:val="ListParagraph"/>
        <w:numPr>
          <w:ilvl w:val="0"/>
          <w:numId w:val="1"/>
        </w:numPr>
        <w:spacing w:after="60"/>
      </w:pPr>
      <w:r>
        <w:t xml:space="preserve">Billing.Infrastructure is not dead code, contrary to this document's original assumption. CreditService.cs uses IDbContextFactory&lt;CatalogDbContext&gt; plus 3 raw SqlConnection/SqlCommand sites. It carries the full Phase 1–4 migration workload like every other module — the earlier "skip if confirmed dead" guidance no longer applies to it. Reporting.Infrastructure was confirmed dead as expected.</w:t>
      </w:r>
    </w:p>
    <w:p>
      <w:pPr>
        <w:pStyle w:val="ListParagraph"/>
        <w:numPr>
          <w:ilvl w:val="0"/>
          <w:numId w:val="1"/>
        </w:numPr>
        <w:spacing w:after="60"/>
      </w:pPr>
      <w:r>
        <w:t xml:space="preserve">The scripts/ reconciliation (Decision 7) was materially bigger than scoped: src/Api/scripts/ turned out to be a 74-file diverged duplicate of scripts/, not 3 extra files, with real content drift in 8 shared files and one direct semantic conflict. It was resolved per-file using git history plus a cross-check against the live EF migration for the one conflict, and incidentally fixed a pre-existing bug — the app's embedded CreateWorkflowSchemaComplete.sql had been serving a stale copy. scripts/ is now the single reconciled source of truth; no further action needed in later phases.</w:t>
      </w:r>
    </w:p>
    <w:p>
      <w:pPr>
        <w:spacing w:after="160"/>
      </w:pPr>
      <w:r>
        <w:rPr>
          <w:b/>
          <w:bCs/>
        </w:rPr>
        <w:t xml:space="preserve">Phase 1 (August 10, 2026) — connection &amp; provisioning layer.</w:t>
      </w:r>
    </w:p>
    <w:p>
      <w:pPr>
        <w:pStyle w:val="ListParagraph"/>
        <w:numPr>
          <w:ilvl w:val="0"/>
          <w:numId w:val="1"/>
        </w:numPr>
        <w:spacing w:after="60"/>
      </w:pPr>
      <w:r>
        <w:t xml:space="preserve">NuGet packages are additive, not a replacement, through Phases 1–8: Npgsql/Npgsql.EntityFrameworkCore.PostgreSQL/Hangfire.PostgreSql were added alongside the existing Microsoft.Data.SqlClient/EF.SqlServer/Hangfire.SqlServer packages, not instead of them. This was corrected after an initial attempt at a hard replace broke the build — it can't be a clean swap until Phase 4 (raw ADO.NET, ~650 call sites) and Phase 5 (Hangfire storage) have ported their usages off the SQL Server packages. Removing the SQL Server packages stays a Phase 9 action, once every tenant is migrated. Solution builds clean with both sets present. Also dropped Hangfire.SqlServer from Users.Infrastructure entirely — confirmed dead weight, never wired there.</w:t>
      </w:r>
    </w:p>
    <w:p>
      <w:pPr>
        <w:pStyle w:val="ListParagraph"/>
        <w:numPr>
          <w:ilvl w:val="0"/>
          <w:numId w:val="1"/>
        </w:numPr>
        <w:spacing w:after="60"/>
      </w:pPr>
      <w:r>
        <w:t xml:space="preserve">TenantSignupService.cs's connection-string-builder audit found 2 call sites, not the 3 originally stated — the "×3" in the source inventory referred to a separate item (ad-hoc UseSqlServer EF wiring, which is Phase 2's job), not this connection-string-builder audit. Both of the real 2 sites are now NpgsqlConnectionStringBuilder.</w:t>
      </w:r>
    </w:p>
    <w:p>
      <w:pPr>
        <w:pStyle w:val="ListParagraph"/>
        <w:numPr>
          <w:ilvl w:val="0"/>
          <w:numId w:val="1"/>
        </w:numPr>
        <w:spacing w:after="60"/>
      </w:pPr>
      <w:r>
        <w:t xml:space="preserve">A literal end-to-end `dotnet run` boot is not yet possible and isn't expected to be until Phase 2 and Phase 5 land — Hangfire's SqlServerStorage.Initialize() still runs synchronously at startup against the new Postgres-format connection string and fails fast. TenantDatabaseCreator.cs was instead verified in isolation with a standalone harness (create/exists-check/re-create against the scratch instance, all passing) rather than pulling Phase 2/5 work forward prematurely.</w:t>
      </w:r>
    </w:p>
    <w:p>
      <w:pPr>
        <w:spacing w:after="160"/>
      </w:pPr>
      <w:r>
        <w:rPr>
          <w:b/>
          <w:bCs/>
        </w:rPr>
        <w:t xml:space="preserve">Phase 2 (August 10, 2026) — EF Core ORM layer.</w:t>
      </w:r>
    </w:p>
    <w:p>
      <w:pPr>
        <w:pStyle w:val="ListParagraph"/>
        <w:numPr>
          <w:ilvl w:val="0"/>
          <w:numId w:val="1"/>
        </w:numPr>
        <w:spacing w:after="60"/>
      </w:pPr>
      <w:r>
        <w:t xml:space="preserve">Regenerating migrations fresh (not hand-translating) surfaced a pre-existing, Postgres-unrelated bug: both CatalogDbContext (7 model entities vs. 2 in the last SQL Server snapshot) and UsersDbContext (9 vs. 7) had drifted from their own migration history. Traced each gap against scripts/ and git history: ConnectorProvider, RepositoryItemShare, and CreditMaster were never EF-managed on SQL Server either (script-owned from the start) — fixed with .ExcludeFromMigrations() on those 3 in CatalogDbContext.cs so EF only manages what it actually always managed. Menu/RoleMenu on UsersDbContext do have a real migration and stay EF-managed. Verified via psql \dt against the scratch instance, not just a clean build: Catalog produced exactly the right 5 tables (4 entities + __EFMigrationsHistory, the 3 excluded ones correctly absent), Users produced all 9 + history.</w:t>
      </w:r>
    </w:p>
    <w:p>
      <w:pPr>
        <w:pStyle w:val="ListParagraph"/>
        <w:numPr>
          <w:ilvl w:val="0"/>
          <w:numId w:val="1"/>
        </w:numPr>
        <w:spacing w:after="60"/>
      </w:pPr>
      <w:r>
        <w:t xml:space="preserve">Forward flag for Phase 3, already noted during Phase 2: 02_CreateTenantDatabase.sql pre-seeds Menu/RoleMenu and fakes an __EFMigrationsHistory row for the old AddMenus migration ID so EF skips re-creating them. That trick doesn't work once Postgres has one consolidated InitialPostgres migration — there's no per-table migration ID left to fake. Phase 3 needs a different approach (e.g. seed after MigrateAsync(), not before).</w:t>
      </w:r>
    </w:p>
    <w:p>
      <w:pPr>
        <w:pStyle w:val="ListParagraph"/>
        <w:numPr>
          <w:ilvl w:val="0"/>
          <w:numId w:val="1"/>
        </w:numPr>
        <w:spacing w:after="60"/>
      </w:pPr>
      <w:r>
        <w:t xml:space="preserve">Second forward flag for Phase 3 (found during doc review, not by the Phase 2 agent): the 3 ExcludeFromMigrations() entities have their exact runtime table name and schema hardcoded in CatalogDbContext.cs's ToTable() calls — catalog.ConnectorProviders, dbo.creditMaster (mixed-case, not snake_case), catalog.RepositoryItemShares. Since EF no longer creates these tables, Phase 3's ported scripts are the only thing that can, and whatever they create must match these strings exactly — including case, since Postgres double-quotes and preserves it — or CatalogDbContext throws "relation does not exist" the first time it queries one. This is a direct exception to Decision 1 (snake_case) for these three tables specifically. Resolve consciously in Phase 3: either keep the mixed-case/dbo-schema names as a documented exception, or rename the physical tables to snake_case and update these three ToTable() calls in the same change — don't let Phase 3 default to snake_case here without updating the C# side too.</w:t>
      </w:r>
    </w:p>
    <w:p>
      <w:pPr>
        <w:spacing w:after="160"/>
      </w:pPr>
      <w:r>
        <w:rPr>
          <w:b/>
          <w:bCs/>
        </w:rPr>
        <w:t xml:space="preserve">Phase 3 (August 10, 2026) — static SQL script porting, Bootstrap checkpoint (Task IDs 33–35 of ~15 script-groups; Schema-complete, Incremental, and Seed/manual still pending).</w:t>
      </w:r>
    </w:p>
    <w:p>
      <w:pPr>
        <w:pStyle w:val="ListParagraph"/>
        <w:numPr>
          <w:ilvl w:val="0"/>
          <w:numId w:val="1"/>
        </w:numPr>
        <w:spacing w:after="60"/>
      </w:pPr>
      <w:r>
        <w:t xml:space="preserve">Testing against the scratch instance (not just inspection) caught 3 real bugs while porting 02_CreateTenantDatabase.sql: the old Users-schema seed rows conflicted with EF's own HasData() seed (dropped — EF is now the sole source), the tenant DB needs an explicit CREATE SCHEMA dbo (tenant databases never get a Catalog-context EF migration, which is what normally creates it), and the temporal-history trigger's first draft used a bare INSERT...SELECT OLD.* which failed with "DEFAULT is not allowed in this context" against the identity column — fixed with an explicit column list. All verified end-to-end (insert → update → update → delete) against the scratch instance.</w:t>
      </w:r>
    </w:p>
    <w:p>
      <w:pPr>
        <w:pStyle w:val="ListParagraph"/>
        <w:numPr>
          <w:ilvl w:val="0"/>
          <w:numId w:val="1"/>
        </w:numPr>
        <w:spacing w:after="60"/>
      </w:pPr>
      <w:r>
        <w:t xml:space="preserve">Confirmed and worth carrying forward: the single-table workflow.WorkflowInstances + temporal-history design is legacy. New tenants use the per-workflow tables WorkflowTableCreator.cs creates instead (confirmed via MigrateToPerWorkflowInstances.sql's comments and a zero-match grep for temporal code in WorkflowTableCreator.cs itself), and that feature never existed there on SQL Server. Ported the trigger-based history faithfully for older tenants' existing data, but Phase 4 must not add temporal tracking to the new per-workflow tables — flagged directly in Phase 4's prompt now.</w:t>
      </w:r>
    </w:p>
    <w:p>
      <w:pPr>
        <w:spacing w:after="160"/>
      </w:pPr>
      <w:r>
        <w:rPr>
          <w:b/>
          <w:bCs/>
        </w:rPr>
        <w:t xml:space="preserve">Phase 3 (August 10, 2026) — Schema-complete checkpoint (Task IDs 36–44, all 9 tracker rows / 10 files), plus a tracker-coverage correction.</w:t>
      </w:r>
    </w:p>
    <w:p>
      <w:pPr>
        <w:pStyle w:val="ListParagraph"/>
        <w:numPr>
          <w:ilvl w:val="0"/>
          <w:numId w:val="1"/>
        </w:numPr>
        <w:spacing w:after="60"/>
      </w:pPr>
      <w:r>
        <w:t xml:space="preserve">All 9 Schema-complete tracker rows verified against the repo — exact-match table names/schemas confirmed correct (catalog."RepositoryItemShares" tested directly against the real ezofis_catalog_new Catalog DB), and CreateLegacyTransactionTable_Manual.sql needed a genuine rewrite: a DO $$...$$ block with psql's :'var' substitution failed outright (psql substitution doesn't reach inside dollar-quoted bodies), fixed using \gexec instead. Every script tested for a clean AND idempotent re-run against the scratch instance.</w:t>
      </w:r>
    </w:p>
    <w:p>
      <w:pPr>
        <w:pStyle w:val="ListParagraph"/>
        <w:numPr>
          <w:ilvl w:val="0"/>
          <w:numId w:val="1"/>
        </w:numPr>
        <w:spacing w:after="60"/>
      </w:pPr>
      <w:r>
        <w:t xml:space="preserve">Tracker-coverage correction, found by cross-checking the full 55-script scripts/ inventory programmatically against the original 4 Phase 3 categories: the original tracker only accounted for 45 of 55 scripts. Create-EmailIngest-Tables.sql was already ported (missing only from the tracker, now added as Done) — the engineering plan's own §3.2 intro paragraph named it as app-embedded/runtime-read but its categorized bullet list omitted it, and the original tracker was built from that bullet list. Nine more scripts don't match any of the 4 category naming patterns (Add*/Alter*/Drop* for Incremental, the named lists for the others) and were never itemized at all: Create_WorkflowAttachments_OnWorkflowCreate.sql, CreateCatalogConnectorProviders.sql, CreateDmsRepositoryItemsTable.sql, Ensure_LegacyMailbox_Indexes.sql, MigrateRolePermissionsToCategories.sql, SetUserConfigurationDefaultOneAllTenants.sql, WorkflowAttachments_RepositoryItem_Guid.sql (added to the tracker as an Incremental gap-fill task), plus two that need a conscious decision rather than a blind port: MigrateToPerWorkflowInstances.sql (may be a completed one-time historical utility, or may still be needed for Phase 7 tenant migration — don't port blindly either way) and Update-TenantConnectionStrings-SqlServer.sql (looks like Phase 7's data-migration concern, not a Phase 3 schema script — confirm before ruling it out here). All 4 added as new tracker rows (IDs 122–125) rather than renumbering the existing 1–121, so nothing already referenced elsewhere in this document shifts.</w:t>
      </w:r>
    </w:p>
    <w:p>
      <w:pPr>
        <w:spacing w:after="160"/>
      </w:pPr>
      <w:r>
        <w:rPr>
          <w:b/>
          <w:bCs/>
        </w:rPr>
        <w:t xml:space="preserve">Phase 3 (August 10, 2026) — complete. All 52 ported scripts verified against the repo, not just the report.</w:t>
      </w:r>
    </w:p>
    <w:p>
      <w:pPr>
        <w:pStyle w:val="ListParagraph"/>
        <w:numPr>
          <w:ilvl w:val="0"/>
          <w:numId w:val="1"/>
        </w:numPr>
        <w:spacing w:after="60"/>
      </w:pPr>
      <w:r>
        <w:t xml:space="preserve">Final verification matched the phase's own stated exit criteria: a genuinely fresh tenant DB provisioned end-to-end (49 tables across 6 schemas, zero errors), and a real CatalogDbContext harness successfully queried ConnectorProviders/creditMaster/RepositoryItemShares — the exact check flagged as "most likely to be silently missed" back in the Phase 2 finding. File count reconciles exactly: 55 total − 01c_InstallHangfire.sql (by design) − MigrateToPerWorkflowInstances.sql (confirmed dead) − Update-TenantConnectionStrings-SqlServer.sql (deferred to Phase 7) = 52 in scripts/postgres/, matching what's actually on disk.</w:t>
      </w:r>
    </w:p>
    <w:p>
      <w:pPr>
        <w:pStyle w:val="ListParagraph"/>
        <w:numPr>
          <w:ilvl w:val="0"/>
          <w:numId w:val="1"/>
        </w:numPr>
        <w:spacing w:after="60"/>
      </w:pPr>
      <w:r>
        <w:t xml:space="preserve">The 4 WorkflowAttachments-related files superseded by WorkflowTableCreator.cs (Phase 4) are present in scripts/postgres/ as documented no-op stubs — each has a header explaining exactly why it's not a functional port — rather than being silently omitted. That's a better practice than a bare file-count check alone would suggest; confirmed by reading the stub headers directly, not assumed from the summary.</w:t>
      </w:r>
    </w:p>
    <w:p>
      <w:pPr>
        <w:pStyle w:val="ListParagraph"/>
        <w:numPr>
          <w:ilvl w:val="0"/>
          <w:numId w:val="1"/>
        </w:numPr>
        <w:spacing w:after="60"/>
      </w:pPr>
      <w:r>
        <w:t xml:space="preserve">The ON CONFLICT / re.DOTALL bug fix in Insert_MSP_MF_ezfb_items.sql verified independently: exactly 244 INSERT statements and exactly 244 ON CONFLICT ("itemId") DO NOTHING clauses in the final file, a clean 1:1 match.</w:t>
      </w:r>
    </w:p>
    <w:p>
      <w:pPr>
        <w:pStyle w:val="ListParagraph"/>
        <w:numPr>
          <w:ilvl w:val="0"/>
          <w:numId w:val="1"/>
        </w:numPr>
        <w:spacing w:after="60"/>
      </w:pPr>
      <w:r>
        <w:t xml:space="preserve">Closed out the gap-fill tracker rows (122–125) added mid-phase — Phase 3's closing instruction only said "update IDs 33–47" and didn't mention them, so they were left at Not Started despite the underlying work being complete and verified. Fixed in the tracker directly and in Phase 3's prompt for anyone who re-reads or reruns it.</w:t>
      </w:r>
    </w:p>
    <w:p>
      <w:pPr>
        <w:spacing w:after="200"/>
      </w:pPr>
    </w:p>
    <w:p>
      <w:pPr>
        <w:pStyle w:val="Heading1"/>
        <w:spacing w:after="160" w:before="360"/>
      </w:pPr>
      <w:r>
        <w:t xml:space="preserve">4. Execution Plan By Phase</w:t>
      </w:r>
    </w:p>
    <w:p>
      <w:pPr>
        <w:pStyle w:val="Heading2"/>
        <w:spacing w:after="120" w:before="280"/>
      </w:pPr>
      <w:r>
        <w:t xml:space="preserve">Phase 0 — Decisions &amp; Cleanup  (Week 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Sign off Decisions 1, 2, 6 (Section 3). Confirm Billing/Reporting dead code. Delete/archive v6Api/, reconcile src/Api/scripts/ into scripts/, drop eztapicontext. Stand up a scratch Postgres instance for all subsequent dev/test.</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Signed-off decisions log; scratch Postgres reachable; repo cleaned of duplicate/dead files.</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Tech lead + 1 engineer</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w:t>
            </w:r>
          </w:p>
        </w:tc>
      </w:tr>
    </w:tbl>
    <w:p>
      <w:pPr>
        <w:spacing w:after="160"/>
      </w:pPr>
    </w:p>
    <w:p>
      <w:pPr>
        <w:pStyle w:val="Heading2"/>
        <w:spacing w:after="120" w:before="280"/>
      </w:pPr>
      <w:r>
        <w:t xml:space="preserve">Phase 1 — Connection &amp; Provisioning Layer  (Weeks 2–3)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NuGet swap (Npgsql, Npgsql.EntityFrameworkCore.PostgreSQL, Hangfire.PostgreSql) across the 8 affected projects. Rewrite appsettings*.json connection strings. Rework TenantDatabaseCreator.cs: master→postgres maintenance DB, sys.databases→pg_database, remove any transaction wrapping around CREATE DATABASE. Audit TenantSignupService.cs builder options for SQL-Server-only flags.</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App boots against scratch Postgres with an empty Catalog DB; tenant DB creation works end-to-end.</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Backend engineer</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Phase 0</w:t>
            </w:r>
          </w:p>
        </w:tc>
      </w:tr>
    </w:tbl>
    <w:p>
      <w:pPr>
        <w:spacing w:after="160"/>
      </w:pPr>
    </w:p>
    <w:p>
      <w:pPr>
        <w:pStyle w:val="Heading2"/>
        <w:spacing w:after="120" w:before="280"/>
      </w:pPr>
      <w:r>
        <w:t xml:space="preserve">Phase 2 — EF Core ORM Layer  (Weeks 3–5 (overlaps Phase 1 tail))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Swap UseSqlServer→UseNpgsql in all DI extensions and ad-hoc DbContextOptionsBuilder sites. Delete and regenerate migrations for CatalogDbContext and UsersDbContext against Postgres. Diff generated schema vs. current SQL Server schema column-by-column (defaults, nullability, indexes).</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Catalog and Users schemas provision cleanly on Postgres via dotnet ef database update; schema diff signed off.</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Backend engineer + reviewer</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Phase 1</w:t>
            </w:r>
          </w:p>
        </w:tc>
      </w:tr>
    </w:tbl>
    <w:p>
      <w:pPr>
        <w:spacing w:after="160"/>
      </w:pPr>
    </w:p>
    <w:p>
      <w:pPr>
        <w:pStyle w:val="Heading2"/>
        <w:spacing w:after="120" w:before="280"/>
      </w:pPr>
      <w:r>
        <w:t xml:space="preserve">Phase 3 — Static SQL Script Porting  (Weeks 4–8)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Port all 55 scripts in dependency order: bootstrap → schema-complete → incremental Add/Alter/Drop → seed/manual. Implement the Decision-2 temporal-table replacement inside 02_CreateTenantDatabase.sql and the one legacy script.</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A brand-new tenant database can be fully provisioned on Postgres end-to-end from scripts alone, with no application code involved yet.</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1–2 backend engineers</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Phase 0 (Decision 2), Phase 1</w:t>
            </w:r>
          </w:p>
        </w:tc>
      </w:tr>
    </w:tbl>
    <w:p>
      <w:pPr>
        <w:spacing w:after="160"/>
      </w:pPr>
    </w:p>
    <w:p>
      <w:pPr>
        <w:pStyle w:val="Heading2"/>
        <w:spacing w:after="120" w:before="280"/>
      </w:pPr>
      <w:r>
        <w:t xml:space="preserve">Phase 4 — Raw ADO.NET &amp; Dynamic DDL Layer  (Weeks 6–14 (largest phase))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Mechanical pass: SqlConnection/SqlCommand/SqlParameter/SqlDbType → Npgsql equivalents across all 77 files. Dialect rewrite pass, in priority order: (1) WorkflowTableCreator.cs, RepositorySqlHelper.cs, RepositoryItemTableColumns.cs — the dynamic DDL engine; (2) FormService*.cs, WorkflowLegacyMailboxQueryService.cs/SyncService.cs, WorkflowTicketSearchService.cs — heaviest CROSS/OUTER APPLY, ISNULL, TOP usage; (3) ConnectorProviderCatalog.cs — MERGE → ON CONFLICT; (4) remaining files in Repository, ActivityLog, Dms, Billing, and Api layers.</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Every raw-SQL code path runs against Postgres; dynamic per-tenant/per-workflow table creation verified against pg_catalog/information_schema.</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2–3 backend engineers</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Phase 3 (schema must exist first)</w:t>
            </w:r>
          </w:p>
        </w:tc>
      </w:tr>
    </w:tbl>
    <w:p>
      <w:pPr>
        <w:spacing w:after="160"/>
      </w:pPr>
    </w:p>
    <w:p>
      <w:pPr>
        <w:pStyle w:val="Heading2"/>
        <w:spacing w:after="120" w:before="280"/>
      </w:pPr>
      <w:r>
        <w:t xml:space="preserve">Phase 5 — Hangfire Migration  (Weeks 6–7 (parallel with Phase 4 start))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Package swap in src/Api and src/Workers/HangfireWorker. .UseSqlServerStorage(...) → .UsePostgreSqlStorage(...). Validate job storage, queues, and recurring jobs.</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Background jobs (email ingest, OCR, archive, AP agent) run against Postgres-backed Hangfire.</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1 backend engineer</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Phase 1</w:t>
            </w:r>
          </w:p>
        </w:tc>
      </w:tr>
    </w:tbl>
    <w:p>
      <w:pPr>
        <w:spacing w:after="160"/>
      </w:pPr>
    </w:p>
    <w:p>
      <w:pPr>
        <w:pStyle w:val="Heading2"/>
        <w:spacing w:after="120" w:before="280"/>
      </w:pPr>
      <w:r>
        <w:t xml:space="preserve">Phase 6 — PowerShell Tooling  (Weeks 8–9)</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Rewrite sqlcmd invocations to psql; handle the loss of GO batch separators. Update Apply-SchemaUpdates.ps1, RunCatalogScripts.ps1, ApplyWorkflowSchemaToTenant.ps1, Verify-Tables.ps1, RunTenantSchema.ps1, and the Test-E2E*.ps1 suite.</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Ops scripts run unmodified-in-purpose against Postgres tenants.</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1 engineer (DevOps-leaning)</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Phase 3</w:t>
            </w:r>
          </w:p>
        </w:tc>
      </w:tr>
    </w:tbl>
    <w:p>
      <w:pPr>
        <w:spacing w:after="160"/>
      </w:pPr>
    </w:p>
    <w:p>
      <w:pPr>
        <w:pStyle w:val="Heading2"/>
        <w:spacing w:after="120" w:before="280"/>
      </w:pPr>
      <w:r>
        <w:t xml:space="preserve">Phase 7 — Data Migration Tooling &amp; Rehearsal  (Weeks 12–15)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Build a per-tenant migration script: schema provisioning + data copy + Tenants.ConnectionString row rewrite, sequenced so no request window sees a half-migrated tenant. Rehearse against a copy of a real tenant database. Measure downtime per tenant. Build the post-migration verification step (query every migrated tenant row, confirm live connectivity) called out in engineering plan §7.6.</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A rehearsed, timed, one-tenant migration runbook with a rollback path.</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Backend engineer + DBA</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Phases 2–6</w:t>
            </w:r>
          </w:p>
        </w:tc>
      </w:tr>
    </w:tbl>
    <w:p>
      <w:pPr>
        <w:spacing w:after="160"/>
      </w:pPr>
    </w:p>
    <w:p>
      <w:pPr>
        <w:pStyle w:val="Heading2"/>
        <w:spacing w:after="120" w:before="280"/>
      </w:pPr>
      <w:r>
        <w:t xml:space="preserve">Phase 8 — Testing &amp; QA  (Weeks 10–16 (overlaps Phases 4–7))</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Run the functional regression checklist: tenant signup/provisioning; login/JWT/guest-share/sign-request; repository list/workspace/security/share/sign; workflow start/inbox/approve/history/comments; credits/billing; activity/event logs; Hangfire jobs. Explicitly re-test the temporal-table replacement and every dynamically created workflow/repository table shape.</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Signed-off regression suite passing against Postgres for at least one full pilot tenant.</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QA + engineering</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Rolling, as each phase lands</w:t>
            </w:r>
          </w:p>
        </w:tc>
      </w:tr>
    </w:tbl>
    <w:p>
      <w:pPr>
        <w:spacing w:after="160"/>
      </w:pPr>
    </w:p>
    <w:p>
      <w:pPr>
        <w:pStyle w:val="Heading2"/>
        <w:spacing w:after="120" w:before="280"/>
      </w:pPr>
      <w:r>
        <w:t xml:space="preserve">Phase 9 — Cutover &amp; Decommission  (Weeks 16–20+ (tenant-count dependent))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100"/>
      </w:tblGrid>
      <w:tr>
        <w:trPr>
          <w:tblHeader/>
        </w:trPr>
        <w:tc>
          <w:tcPr>
            <w:tcW w:type="dxa" w:w="17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91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1700"/>
            <w:tcMar>
              <w:top w:type="dxa" w:w="80"/>
              <w:left w:type="dxa" w:w="100"/>
              <w:bottom w:type="dxa" w:w="80"/>
              <w:right w:type="dxa" w:w="100"/>
            </w:tcMar>
          </w:tcPr>
          <w:p>
            <w:pPr>
              <w:jc w:val="left"/>
            </w:pPr>
            <w:r>
              <w:rPr>
                <w:b w:val="false"/>
                <w:bCs w:val="false"/>
                <w:sz w:val="18"/>
                <w:szCs w:val="18"/>
              </w:rPr>
              <w:t xml:space="preserve">Key tasks</w:t>
            </w:r>
          </w:p>
        </w:tc>
        <w:tc>
          <w:tcPr>
            <w:tcW w:type="dxa" w:w="9100"/>
            <w:tcMar>
              <w:top w:type="dxa" w:w="80"/>
              <w:left w:type="dxa" w:w="100"/>
              <w:bottom w:type="dxa" w:w="80"/>
              <w:right w:type="dxa" w:w="100"/>
            </w:tcMar>
          </w:tcPr>
          <w:p>
            <w:pPr>
              <w:jc w:val="left"/>
            </w:pPr>
            <w:r>
              <w:rPr>
                <w:b w:val="false"/>
                <w:bCs w:val="false"/>
                <w:sz w:val="18"/>
                <w:szCs w:val="18"/>
              </w:rPr>
              <w:t xml:space="preserve">Execute the phased per-tenant cutover from Decision 6, starting with 1–2 pilot tenants, then widening. Run post-cutover verification per tenant. Once no tenant remains on SQL Server, remove Microsoft.Data.SqlClient, Microsoft.EntityFrameworkCore.SqlServer, and Hangfire.SqlServer references entirely.</w:t>
            </w:r>
          </w:p>
        </w:tc>
      </w:tr>
      <w:tr>
        <w:tc>
          <w:tcPr>
            <w:tcW w:type="dxa" w:w="1700"/>
            <w:tcMar>
              <w:top w:type="dxa" w:w="80"/>
              <w:left w:type="dxa" w:w="100"/>
              <w:bottom w:type="dxa" w:w="80"/>
              <w:right w:type="dxa" w:w="100"/>
            </w:tcMar>
          </w:tcPr>
          <w:p>
            <w:pPr>
              <w:jc w:val="left"/>
            </w:pPr>
            <w:r>
              <w:rPr>
                <w:b w:val="false"/>
                <w:bCs w:val="false"/>
                <w:sz w:val="18"/>
                <w:szCs w:val="18"/>
              </w:rPr>
              <w:t xml:space="preserve">Deliverable / exit criteria</w:t>
            </w:r>
          </w:p>
        </w:tc>
        <w:tc>
          <w:tcPr>
            <w:tcW w:type="dxa" w:w="9100"/>
            <w:tcMar>
              <w:top w:type="dxa" w:w="80"/>
              <w:left w:type="dxa" w:w="100"/>
              <w:bottom w:type="dxa" w:w="80"/>
              <w:right w:type="dxa" w:w="100"/>
            </w:tcMar>
          </w:tcPr>
          <w:p>
            <w:pPr>
              <w:jc w:val="left"/>
            </w:pPr>
            <w:r>
              <w:rPr>
                <w:b w:val="false"/>
                <w:bCs w:val="false"/>
                <w:sz w:val="18"/>
                <w:szCs w:val="18"/>
              </w:rPr>
              <w:t xml:space="preserve">All tenants on Postgres; SQL Server dependency fully removed from the codebase.</w:t>
            </w:r>
          </w:p>
        </w:tc>
      </w:tr>
      <w:tr>
        <w:tc>
          <w:tcPr>
            <w:tcW w:type="dxa" w:w="1700"/>
            <w:tcMar>
              <w:top w:type="dxa" w:w="80"/>
              <w:left w:type="dxa" w:w="100"/>
              <w:bottom w:type="dxa" w:w="80"/>
              <w:right w:type="dxa" w:w="100"/>
            </w:tcMar>
          </w:tcPr>
          <w:p>
            <w:pPr>
              <w:jc w:val="left"/>
            </w:pPr>
            <w:r>
              <w:rPr>
                <w:b w:val="false"/>
                <w:bCs w:val="false"/>
                <w:sz w:val="18"/>
                <w:szCs w:val="18"/>
              </w:rPr>
              <w:t xml:space="preserve">Owner</w:t>
            </w:r>
          </w:p>
        </w:tc>
        <w:tc>
          <w:tcPr>
            <w:tcW w:type="dxa" w:w="9100"/>
            <w:tcMar>
              <w:top w:type="dxa" w:w="80"/>
              <w:left w:type="dxa" w:w="100"/>
              <w:bottom w:type="dxa" w:w="80"/>
              <w:right w:type="dxa" w:w="100"/>
            </w:tcMar>
          </w:tcPr>
          <w:p>
            <w:pPr>
              <w:jc w:val="left"/>
            </w:pPr>
            <w:r>
              <w:rPr>
                <w:b w:val="false"/>
                <w:bCs w:val="false"/>
                <w:sz w:val="18"/>
                <w:szCs w:val="18"/>
              </w:rPr>
              <w:t xml:space="preserve">Tech lead + on-call rotation</w:t>
            </w:r>
          </w:p>
        </w:tc>
      </w:tr>
      <w:tr>
        <w:tc>
          <w:tcPr>
            <w:tcW w:type="dxa" w:w="1700"/>
            <w:tcMar>
              <w:top w:type="dxa" w:w="80"/>
              <w:left w:type="dxa" w:w="100"/>
              <w:bottom w:type="dxa" w:w="80"/>
              <w:right w:type="dxa" w:w="100"/>
            </w:tcMar>
          </w:tcPr>
          <w:p>
            <w:pPr>
              <w:jc w:val="left"/>
            </w:pPr>
            <w:r>
              <w:rPr>
                <w:b w:val="false"/>
                <w:bCs w:val="false"/>
                <w:sz w:val="18"/>
                <w:szCs w:val="18"/>
              </w:rPr>
              <w:t xml:space="preserve">Depends on</w:t>
            </w:r>
          </w:p>
        </w:tc>
        <w:tc>
          <w:tcPr>
            <w:tcW w:type="dxa" w:w="9100"/>
            <w:tcMar>
              <w:top w:type="dxa" w:w="80"/>
              <w:left w:type="dxa" w:w="100"/>
              <w:bottom w:type="dxa" w:w="80"/>
              <w:right w:type="dxa" w:w="100"/>
            </w:tcMar>
          </w:tcPr>
          <w:p>
            <w:pPr>
              <w:jc w:val="left"/>
            </w:pPr>
            <w:r>
              <w:rPr>
                <w:b w:val="false"/>
                <w:bCs w:val="false"/>
                <w:sz w:val="18"/>
                <w:szCs w:val="18"/>
              </w:rPr>
              <w:t xml:space="preserve">Phase 7, Phase 8 sign-off</w:t>
            </w:r>
          </w:p>
        </w:tc>
      </w:tr>
    </w:tbl>
    <w:p>
      <w:pPr>
        <w:spacing w:after="160"/>
      </w:pPr>
    </w:p>
    <w:p>
      <w:pPr>
        <w:pStyle w:val="Heading1"/>
        <w:spacing w:after="160" w:before="360"/>
      </w:pPr>
      <w:r>
        <w:t xml:space="preserve">5. Risk Register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4200"/>
      </w:tblGrid>
      <w:tr>
        <w:trPr>
          <w:tblHeader/>
        </w:trPr>
        <w:tc>
          <w:tcPr>
            <w:tcW w:type="dxa" w:w="3200"/>
            <w:shd w:fill="1F3864" w:val="clear"/>
            <w:tcMar>
              <w:top w:type="dxa" w:w="80"/>
              <w:left w:type="dxa" w:w="100"/>
              <w:bottom w:type="dxa" w:w="80"/>
              <w:right w:type="dxa" w:w="100"/>
            </w:tcMar>
          </w:tcPr>
          <w:p>
            <w:pPr>
              <w:jc w:val="left"/>
            </w:pPr>
            <w:r>
              <w:rPr>
                <w:b/>
                <w:bCs/>
                <w:color w:val="FFFFFF"/>
                <w:sz w:val="19"/>
                <w:szCs w:val="19"/>
              </w:rPr>
              <w:t xml:space="preserve">Risk</w:t>
            </w:r>
          </w:p>
        </w:tc>
        <w:tc>
          <w:tcPr>
            <w:tcW w:type="dxa" w:w="2000"/>
            <w:shd w:fill="1F3864" w:val="clear"/>
            <w:tcMar>
              <w:top w:type="dxa" w:w="80"/>
              <w:left w:type="dxa" w:w="100"/>
              <w:bottom w:type="dxa" w:w="80"/>
              <w:right w:type="dxa" w:w="100"/>
            </w:tcMar>
          </w:tcPr>
          <w:p>
            <w:pPr>
              <w:jc w:val="left"/>
            </w:pPr>
            <w:r>
              <w:rPr>
                <w:b/>
                <w:bCs/>
                <w:color w:val="FFFFFF"/>
                <w:sz w:val="19"/>
                <w:szCs w:val="19"/>
              </w:rPr>
              <w:t xml:space="preserve">Impact</w:t>
            </w:r>
          </w:p>
        </w:tc>
        <w:tc>
          <w:tcPr>
            <w:tcW w:type="dxa" w:w="1400"/>
            <w:shd w:fill="1F3864" w:val="clear"/>
            <w:tcMar>
              <w:top w:type="dxa" w:w="80"/>
              <w:left w:type="dxa" w:w="100"/>
              <w:bottom w:type="dxa" w:w="80"/>
              <w:right w:type="dxa" w:w="100"/>
            </w:tcMar>
          </w:tcPr>
          <w:p>
            <w:pPr>
              <w:jc w:val="left"/>
            </w:pPr>
            <w:r>
              <w:rPr>
                <w:b/>
                <w:bCs/>
                <w:color w:val="FFFFFF"/>
                <w:sz w:val="19"/>
                <w:szCs w:val="19"/>
              </w:rPr>
              <w:t xml:space="preserve">Likelihood</w:t>
            </w:r>
          </w:p>
        </w:tc>
        <w:tc>
          <w:tcPr>
            <w:tcW w:type="dxa" w:w="4200"/>
            <w:shd w:fill="1F3864" w:val="clear"/>
            <w:tcMar>
              <w:top w:type="dxa" w:w="80"/>
              <w:left w:type="dxa" w:w="100"/>
              <w:bottom w:type="dxa" w:w="80"/>
              <w:right w:type="dxa" w:w="100"/>
            </w:tcMar>
          </w:tcPr>
          <w:p>
            <w:pPr>
              <w:jc w:val="left"/>
            </w:pPr>
            <w:r>
              <w:rPr>
                <w:b/>
                <w:bCs/>
                <w:color w:val="FFFFFF"/>
                <w:sz w:val="19"/>
                <w:szCs w:val="19"/>
              </w:rPr>
              <w:t xml:space="preserve">Mitigation</w:t>
            </w:r>
          </w:p>
        </w:tc>
      </w:tr>
      <w:tr>
        <w:tc>
          <w:tcPr>
            <w:tcW w:type="dxa" w:w="3200"/>
            <w:shd w:fill="F2F2F2" w:val="clear"/>
            <w:tcMar>
              <w:top w:type="dxa" w:w="80"/>
              <w:left w:type="dxa" w:w="100"/>
              <w:bottom w:type="dxa" w:w="80"/>
              <w:right w:type="dxa" w:w="100"/>
            </w:tcMar>
          </w:tcPr>
          <w:p>
            <w:pPr>
              <w:jc w:val="left"/>
            </w:pPr>
            <w:r>
              <w:rPr>
                <w:b w:val="false"/>
                <w:bCs w:val="false"/>
                <w:sz w:val="18"/>
                <w:szCs w:val="18"/>
              </w:rPr>
              <w:t xml:space="preserve">Underestimating raw-SQL volume/complexity</w:t>
            </w:r>
          </w:p>
        </w:tc>
        <w:tc>
          <w:tcPr>
            <w:tcW w:type="dxa" w:w="2000"/>
            <w:shd w:fill="F2F2F2" w:val="clear"/>
            <w:tcMar>
              <w:top w:type="dxa" w:w="80"/>
              <w:left w:type="dxa" w:w="100"/>
              <w:bottom w:type="dxa" w:w="80"/>
              <w:right w:type="dxa" w:w="100"/>
            </w:tcMar>
          </w:tcPr>
          <w:p>
            <w:pPr>
              <w:jc w:val="left"/>
            </w:pPr>
            <w:r>
              <w:rPr>
                <w:b w:val="false"/>
                <w:bCs w:val="false"/>
                <w:sz w:val="18"/>
                <w:szCs w:val="18"/>
              </w:rPr>
              <w:t xml:space="preserve">Delay, bugs shipped to production</w:t>
            </w:r>
          </w:p>
        </w:tc>
        <w:tc>
          <w:tcPr>
            <w:tcW w:type="dxa" w:w="1400"/>
            <w:shd w:fill="F2F2F2" w:val="clear"/>
            <w:tcMar>
              <w:top w:type="dxa" w:w="80"/>
              <w:left w:type="dxa" w:w="100"/>
              <w:bottom w:type="dxa" w:w="80"/>
              <w:right w:type="dxa" w:w="100"/>
            </w:tcMar>
          </w:tcPr>
          <w:p>
            <w:pPr>
              <w:jc w:val="left"/>
            </w:pPr>
            <w:r>
              <w:rPr>
                <w:b w:val="false"/>
                <w:bCs w:val="false"/>
                <w:sz w:val="18"/>
                <w:szCs w:val="18"/>
              </w:rPr>
              <w:t xml:space="preserve">High</w:t>
            </w:r>
          </w:p>
        </w:tc>
        <w:tc>
          <w:tcPr>
            <w:tcW w:type="dxa" w:w="4200"/>
            <w:shd w:fill="F2F2F2" w:val="clear"/>
            <w:tcMar>
              <w:top w:type="dxa" w:w="80"/>
              <w:left w:type="dxa" w:w="100"/>
              <w:bottom w:type="dxa" w:w="80"/>
              <w:right w:type="dxa" w:w="100"/>
            </w:tcMar>
          </w:tcPr>
          <w:p>
            <w:pPr>
              <w:jc w:val="left"/>
            </w:pPr>
            <w:r>
              <w:rPr>
                <w:b w:val="false"/>
                <w:bCs w:val="false"/>
                <w:sz w:val="18"/>
                <w:szCs w:val="18"/>
              </w:rPr>
              <w:t xml:space="preserve">Phase 4 file-by-file priority order front-loads the dynamic DDL engine; re-estimate after the first 10 files are done.</w:t>
            </w:r>
          </w:p>
        </w:tc>
      </w:tr>
      <w:tr>
        <w:tc>
          <w:tcPr>
            <w:tcW w:type="dxa" w:w="3200"/>
            <w:shd w:fill="FFFFFF" w:val="clear"/>
            <w:tcMar>
              <w:top w:type="dxa" w:w="80"/>
              <w:left w:type="dxa" w:w="100"/>
              <w:bottom w:type="dxa" w:w="80"/>
              <w:right w:type="dxa" w:w="100"/>
            </w:tcMar>
          </w:tcPr>
          <w:p>
            <w:pPr>
              <w:jc w:val="left"/>
            </w:pPr>
            <w:r>
              <w:rPr>
                <w:b w:val="false"/>
                <w:bCs w:val="false"/>
                <w:sz w:val="18"/>
                <w:szCs w:val="18"/>
              </w:rPr>
              <w:t xml:space="preserve">Silent SQL-dialect bugs (case sensitivity, type coercion)</w:t>
            </w:r>
          </w:p>
        </w:tc>
        <w:tc>
          <w:tcPr>
            <w:tcW w:type="dxa" w:w="2000"/>
            <w:shd w:fill="FFFFFF" w:val="clear"/>
            <w:tcMar>
              <w:top w:type="dxa" w:w="80"/>
              <w:left w:type="dxa" w:w="100"/>
              <w:bottom w:type="dxa" w:w="80"/>
              <w:right w:type="dxa" w:w="100"/>
            </w:tcMar>
          </w:tcPr>
          <w:p>
            <w:pPr>
              <w:jc w:val="left"/>
            </w:pPr>
            <w:r>
              <w:rPr>
                <w:b w:val="false"/>
                <w:bCs w:val="false"/>
                <w:sz w:val="18"/>
                <w:szCs w:val="18"/>
              </w:rPr>
              <w:t xml:space="preserve">Data corruption, wrong query results, wrong filters</w:t>
            </w:r>
          </w:p>
        </w:tc>
        <w:tc>
          <w:tcPr>
            <w:tcW w:type="dxa" w:w="1400"/>
            <w:shd w:fill="FFFFFF" w:val="clear"/>
            <w:tcMar>
              <w:top w:type="dxa" w:w="80"/>
              <w:left w:type="dxa" w:w="100"/>
              <w:bottom w:type="dxa" w:w="80"/>
              <w:right w:type="dxa" w:w="100"/>
            </w:tcMar>
          </w:tcPr>
          <w:p>
            <w:pPr>
              <w:jc w:val="left"/>
            </w:pPr>
            <w:r>
              <w:rPr>
                <w:b w:val="false"/>
                <w:bCs w:val="false"/>
                <w:sz w:val="18"/>
                <w:szCs w:val="18"/>
              </w:rPr>
              <w:t xml:space="preserve">High</w:t>
            </w:r>
          </w:p>
        </w:tc>
        <w:tc>
          <w:tcPr>
            <w:tcW w:type="dxa" w:w="4200"/>
            <w:shd w:fill="FFFFFF" w:val="clear"/>
            <w:tcMar>
              <w:top w:type="dxa" w:w="80"/>
              <w:left w:type="dxa" w:w="100"/>
              <w:bottom w:type="dxa" w:w="80"/>
              <w:right w:type="dxa" w:w="100"/>
            </w:tcMar>
          </w:tcPr>
          <w:p>
            <w:pPr>
              <w:jc w:val="left"/>
            </w:pPr>
            <w:r>
              <w:rPr>
                <w:b w:val="false"/>
                <w:bCs w:val="false"/>
                <w:sz w:val="18"/>
                <w:szCs w:val="18"/>
              </w:rPr>
              <w:t xml:space="preserve">Golden regression suite per module (Phase 8); explicit identifier-casing convention (Decision 1) applied consistently, not ad hoc.</w:t>
            </w:r>
          </w:p>
        </w:tc>
      </w:tr>
      <w:tr>
        <w:tc>
          <w:tcPr>
            <w:tcW w:type="dxa" w:w="3200"/>
            <w:shd w:fill="F2F2F2" w:val="clear"/>
            <w:tcMar>
              <w:top w:type="dxa" w:w="80"/>
              <w:left w:type="dxa" w:w="100"/>
              <w:bottom w:type="dxa" w:w="80"/>
              <w:right w:type="dxa" w:w="100"/>
            </w:tcMar>
          </w:tcPr>
          <w:p>
            <w:pPr>
              <w:jc w:val="left"/>
            </w:pPr>
            <w:r>
              <w:rPr>
                <w:b w:val="false"/>
                <w:bCs w:val="false"/>
                <w:sz w:val="18"/>
                <w:szCs w:val="18"/>
              </w:rPr>
              <w:t xml:space="preserve">Temporal-table replacement diverges from real semantics</w:t>
            </w:r>
          </w:p>
        </w:tc>
        <w:tc>
          <w:tcPr>
            <w:tcW w:type="dxa" w:w="2000"/>
            <w:shd w:fill="F2F2F2" w:val="clear"/>
            <w:tcMar>
              <w:top w:type="dxa" w:w="80"/>
              <w:left w:type="dxa" w:w="100"/>
              <w:bottom w:type="dxa" w:w="80"/>
              <w:right w:type="dxa" w:w="100"/>
            </w:tcMar>
          </w:tcPr>
          <w:p>
            <w:pPr>
              <w:jc w:val="left"/>
            </w:pPr>
            <w:r>
              <w:rPr>
                <w:b w:val="false"/>
                <w:bCs w:val="false"/>
                <w:sz w:val="18"/>
                <w:szCs w:val="18"/>
              </w:rPr>
              <w:t xml:space="preserve">Audit/history queries return wrong results</w:t>
            </w:r>
          </w:p>
        </w:tc>
        <w:tc>
          <w:tcPr>
            <w:tcW w:type="dxa" w:w="1400"/>
            <w:shd w:fill="F2F2F2" w:val="clear"/>
            <w:tcMar>
              <w:top w:type="dxa" w:w="80"/>
              <w:left w:type="dxa" w:w="100"/>
              <w:bottom w:type="dxa" w:w="80"/>
              <w:right w:type="dxa" w:w="100"/>
            </w:tcMar>
          </w:tcPr>
          <w:p>
            <w:pPr>
              <w:jc w:val="left"/>
            </w:pPr>
            <w:r>
              <w:rPr>
                <w:b w:val="false"/>
                <w:bCs w:val="false"/>
                <w:sz w:val="18"/>
                <w:szCs w:val="18"/>
              </w:rPr>
              <w:t xml:space="preserve">Medium</w:t>
            </w:r>
          </w:p>
        </w:tc>
        <w:tc>
          <w:tcPr>
            <w:tcW w:type="dxa" w:w="4200"/>
            <w:shd w:fill="F2F2F2" w:val="clear"/>
            <w:tcMar>
              <w:top w:type="dxa" w:w="80"/>
              <w:left w:type="dxa" w:w="100"/>
              <w:bottom w:type="dxa" w:w="80"/>
              <w:right w:type="dxa" w:w="100"/>
            </w:tcMar>
          </w:tcPr>
          <w:p>
            <w:pPr>
              <w:jc w:val="left"/>
            </w:pPr>
            <w:r>
              <w:rPr>
                <w:b w:val="false"/>
                <w:bCs w:val="false"/>
                <w:sz w:val="18"/>
                <w:szCs w:val="18"/>
              </w:rPr>
              <w:t xml:space="preserve">Design review of the trigger-based history approach (Decision 2) before Phase 3 starts porting the script that depends on it.</w:t>
            </w:r>
          </w:p>
        </w:tc>
      </w:tr>
      <w:tr>
        <w:tc>
          <w:tcPr>
            <w:tcW w:type="dxa" w:w="3200"/>
            <w:shd w:fill="FFFFFF" w:val="clear"/>
            <w:tcMar>
              <w:top w:type="dxa" w:w="80"/>
              <w:left w:type="dxa" w:w="100"/>
              <w:bottom w:type="dxa" w:w="80"/>
              <w:right w:type="dxa" w:w="100"/>
            </w:tcMar>
          </w:tcPr>
          <w:p>
            <w:pPr>
              <w:jc w:val="left"/>
            </w:pPr>
            <w:r>
              <w:rPr>
                <w:b w:val="false"/>
                <w:bCs w:val="false"/>
                <w:sz w:val="18"/>
                <w:szCs w:val="18"/>
              </w:rPr>
              <w:t xml:space="preserve">Multi-tenant cutover downtime</w:t>
            </w:r>
          </w:p>
        </w:tc>
        <w:tc>
          <w:tcPr>
            <w:tcW w:type="dxa" w:w="2000"/>
            <w:shd w:fill="FFFFFF" w:val="clear"/>
            <w:tcMar>
              <w:top w:type="dxa" w:w="80"/>
              <w:left w:type="dxa" w:w="100"/>
              <w:bottom w:type="dxa" w:w="80"/>
              <w:right w:type="dxa" w:w="100"/>
            </w:tcMar>
          </w:tcPr>
          <w:p>
            <w:pPr>
              <w:jc w:val="left"/>
            </w:pPr>
            <w:r>
              <w:rPr>
                <w:b w:val="false"/>
                <w:bCs w:val="false"/>
                <w:sz w:val="18"/>
                <w:szCs w:val="18"/>
              </w:rPr>
              <w:t xml:space="preserve">Business/customer impact</w:t>
            </w:r>
          </w:p>
        </w:tc>
        <w:tc>
          <w:tcPr>
            <w:tcW w:type="dxa" w:w="1400"/>
            <w:shd w:fill="FFFFFF" w:val="clear"/>
            <w:tcMar>
              <w:top w:type="dxa" w:w="80"/>
              <w:left w:type="dxa" w:w="100"/>
              <w:bottom w:type="dxa" w:w="80"/>
              <w:right w:type="dxa" w:w="100"/>
            </w:tcMar>
          </w:tcPr>
          <w:p>
            <w:pPr>
              <w:jc w:val="left"/>
            </w:pPr>
            <w:r>
              <w:rPr>
                <w:b w:val="false"/>
                <w:bCs w:val="false"/>
                <w:sz w:val="18"/>
                <w:szCs w:val="18"/>
              </w:rPr>
              <w:t xml:space="preserve">Medium</w:t>
            </w:r>
          </w:p>
        </w:tc>
        <w:tc>
          <w:tcPr>
            <w:tcW w:type="dxa" w:w="4200"/>
            <w:shd w:fill="FFFFFF" w:val="clear"/>
            <w:tcMar>
              <w:top w:type="dxa" w:w="80"/>
              <w:left w:type="dxa" w:w="100"/>
              <w:bottom w:type="dxa" w:w="80"/>
              <w:right w:type="dxa" w:w="100"/>
            </w:tcMar>
          </w:tcPr>
          <w:p>
            <w:pPr>
              <w:jc w:val="left"/>
            </w:pPr>
            <w:r>
              <w:rPr>
                <w:b w:val="false"/>
                <w:bCs w:val="false"/>
                <w:sz w:val="18"/>
                <w:szCs w:val="18"/>
              </w:rPr>
              <w:t xml:space="preserve">Phased per-tenant cutover (Decision 6) with pilot tenants first; rehearsed runbook from Phase 7.</w:t>
            </w:r>
          </w:p>
        </w:tc>
      </w:tr>
      <w:tr>
        <w:tc>
          <w:tcPr>
            <w:tcW w:type="dxa" w:w="3200"/>
            <w:shd w:fill="F2F2F2" w:val="clear"/>
            <w:tcMar>
              <w:top w:type="dxa" w:w="80"/>
              <w:left w:type="dxa" w:w="100"/>
              <w:bottom w:type="dxa" w:w="80"/>
              <w:right w:type="dxa" w:w="100"/>
            </w:tcMar>
          </w:tcPr>
          <w:p>
            <w:pPr>
              <w:jc w:val="left"/>
            </w:pPr>
            <w:r>
              <w:rPr>
                <w:b w:val="false"/>
                <w:bCs w:val="false"/>
                <w:sz w:val="18"/>
                <w:szCs w:val="18"/>
              </w:rPr>
              <w:t xml:space="preserve">Tenant left half-migrated (ConnectionString rewritten but data not fully copied, or vice versa)</w:t>
            </w:r>
          </w:p>
        </w:tc>
        <w:tc>
          <w:tcPr>
            <w:tcW w:type="dxa" w:w="2000"/>
            <w:shd w:fill="F2F2F2" w:val="clear"/>
            <w:tcMar>
              <w:top w:type="dxa" w:w="80"/>
              <w:left w:type="dxa" w:w="100"/>
              <w:bottom w:type="dxa" w:w="80"/>
              <w:right w:type="dxa" w:w="100"/>
            </w:tcMar>
          </w:tcPr>
          <w:p>
            <w:pPr>
              <w:jc w:val="left"/>
            </w:pPr>
            <w:r>
              <w:rPr>
                <w:b w:val="false"/>
                <w:bCs w:val="false"/>
                <w:sz w:val="18"/>
                <w:szCs w:val="18"/>
              </w:rPr>
              <w:t xml:space="preserve">Tenant-facing outage with no compile-time signal</w:t>
            </w:r>
          </w:p>
        </w:tc>
        <w:tc>
          <w:tcPr>
            <w:tcW w:type="dxa" w:w="1400"/>
            <w:shd w:fill="F2F2F2" w:val="clear"/>
            <w:tcMar>
              <w:top w:type="dxa" w:w="80"/>
              <w:left w:type="dxa" w:w="100"/>
              <w:bottom w:type="dxa" w:w="80"/>
              <w:right w:type="dxa" w:w="100"/>
            </w:tcMar>
          </w:tcPr>
          <w:p>
            <w:pPr>
              <w:jc w:val="left"/>
            </w:pPr>
            <w:r>
              <w:rPr>
                <w:b w:val="false"/>
                <w:bCs w:val="false"/>
                <w:sz w:val="18"/>
                <w:szCs w:val="18"/>
              </w:rPr>
              <w:t xml:space="preserve">High</w:t>
            </w:r>
          </w:p>
        </w:tc>
        <w:tc>
          <w:tcPr>
            <w:tcW w:type="dxa" w:w="4200"/>
            <w:shd w:fill="F2F2F2" w:val="clear"/>
            <w:tcMar>
              <w:top w:type="dxa" w:w="80"/>
              <w:left w:type="dxa" w:w="100"/>
              <w:bottom w:type="dxa" w:w="80"/>
              <w:right w:type="dxa" w:w="100"/>
            </w:tcMar>
          </w:tcPr>
          <w:p>
            <w:pPr>
              <w:jc w:val="left"/>
            </w:pPr>
            <w:r>
              <w:rPr>
                <w:b w:val="false"/>
                <w:bCs w:val="false"/>
                <w:sz w:val="18"/>
                <w:szCs w:val="18"/>
              </w:rPr>
              <w:t xml:space="preserve">Mandatory post-migration verification step per tenant (Phase 7) before that tenant is considered done.</w:t>
            </w:r>
          </w:p>
        </w:tc>
      </w:tr>
      <w:tr>
        <w:tc>
          <w:tcPr>
            <w:tcW w:type="dxa" w:w="3200"/>
            <w:shd w:fill="FFFFFF" w:val="clear"/>
            <w:tcMar>
              <w:top w:type="dxa" w:w="80"/>
              <w:left w:type="dxa" w:w="100"/>
              <w:bottom w:type="dxa" w:w="80"/>
              <w:right w:type="dxa" w:w="100"/>
            </w:tcMar>
          </w:tcPr>
          <w:p>
            <w:pPr>
              <w:jc w:val="left"/>
            </w:pPr>
            <w:r>
              <w:rPr>
                <w:b w:val="false"/>
                <w:bCs w:val="false"/>
                <w:sz w:val="18"/>
                <w:szCs w:val="18"/>
              </w:rPr>
              <w:t xml:space="preserve">Hangfire job-store mismatch during cutover</w:t>
            </w:r>
          </w:p>
        </w:tc>
        <w:tc>
          <w:tcPr>
            <w:tcW w:type="dxa" w:w="2000"/>
            <w:shd w:fill="FFFFFF" w:val="clear"/>
            <w:tcMar>
              <w:top w:type="dxa" w:w="80"/>
              <w:left w:type="dxa" w:w="100"/>
              <w:bottom w:type="dxa" w:w="80"/>
              <w:right w:type="dxa" w:w="100"/>
            </w:tcMar>
          </w:tcPr>
          <w:p>
            <w:pPr>
              <w:jc w:val="left"/>
            </w:pPr>
            <w:r>
              <w:rPr>
                <w:b w:val="false"/>
                <w:bCs w:val="false"/>
                <w:sz w:val="18"/>
                <w:szCs w:val="18"/>
              </w:rPr>
              <w:t xml:space="preserve">Missed or duplicated background jobs (email ingest, OCR, AP agent)</w:t>
            </w:r>
          </w:p>
        </w:tc>
        <w:tc>
          <w:tcPr>
            <w:tcW w:type="dxa" w:w="1400"/>
            <w:shd w:fill="FFFFFF" w:val="clear"/>
            <w:tcMar>
              <w:top w:type="dxa" w:w="80"/>
              <w:left w:type="dxa" w:w="100"/>
              <w:bottom w:type="dxa" w:w="80"/>
              <w:right w:type="dxa" w:w="100"/>
            </w:tcMar>
          </w:tcPr>
          <w:p>
            <w:pPr>
              <w:jc w:val="left"/>
            </w:pPr>
            <w:r>
              <w:rPr>
                <w:b w:val="false"/>
                <w:bCs w:val="false"/>
                <w:sz w:val="18"/>
                <w:szCs w:val="18"/>
              </w:rPr>
              <w:t xml:space="preserve">Medium</w:t>
            </w:r>
          </w:p>
        </w:tc>
        <w:tc>
          <w:tcPr>
            <w:tcW w:type="dxa" w:w="4200"/>
            <w:shd w:fill="FFFFFF" w:val="clear"/>
            <w:tcMar>
              <w:top w:type="dxa" w:w="80"/>
              <w:left w:type="dxa" w:w="100"/>
              <w:bottom w:type="dxa" w:w="80"/>
              <w:right w:type="dxa" w:w="100"/>
            </w:tcMar>
          </w:tcPr>
          <w:p>
            <w:pPr>
              <w:jc w:val="left"/>
            </w:pPr>
            <w:r>
              <w:rPr>
                <w:b w:val="false"/>
                <w:bCs w:val="false"/>
                <w:sz w:val="18"/>
                <w:szCs w:val="18"/>
              </w:rPr>
              <w:t xml:space="preserve">Drain queues before cutover; validate job storage on Postgres in Phase 5 well before Phase 9.</w:t>
            </w:r>
          </w:p>
        </w:tc>
      </w:tr>
      <w:tr>
        <w:tc>
          <w:tcPr>
            <w:tcW w:type="dxa" w:w="3200"/>
            <w:shd w:fill="F2F2F2" w:val="clear"/>
            <w:tcMar>
              <w:top w:type="dxa" w:w="80"/>
              <w:left w:type="dxa" w:w="100"/>
              <w:bottom w:type="dxa" w:w="80"/>
              <w:right w:type="dxa" w:w="100"/>
            </w:tcMar>
          </w:tcPr>
          <w:p>
            <w:pPr>
              <w:jc w:val="left"/>
            </w:pPr>
            <w:r>
              <w:rPr>
                <w:b w:val="false"/>
                <w:bCs w:val="false"/>
                <w:sz w:val="18"/>
                <w:szCs w:val="18"/>
              </w:rPr>
              <w:t xml:space="preserve">Dynamic DDL engine rewrite breaks existing workflows/repositories</w:t>
            </w:r>
          </w:p>
        </w:tc>
        <w:tc>
          <w:tcPr>
            <w:tcW w:type="dxa" w:w="2000"/>
            <w:shd w:fill="F2F2F2" w:val="clear"/>
            <w:tcMar>
              <w:top w:type="dxa" w:w="80"/>
              <w:left w:type="dxa" w:w="100"/>
              <w:bottom w:type="dxa" w:w="80"/>
              <w:right w:type="dxa" w:w="100"/>
            </w:tcMar>
          </w:tcPr>
          <w:p>
            <w:pPr>
              <w:jc w:val="left"/>
            </w:pPr>
            <w:r>
              <w:rPr>
                <w:b w:val="false"/>
                <w:bCs w:val="false"/>
                <w:sz w:val="18"/>
                <w:szCs w:val="18"/>
              </w:rPr>
              <w:t xml:space="preserve">Feature-level outage across all tenants using that engine</w:t>
            </w:r>
          </w:p>
        </w:tc>
        <w:tc>
          <w:tcPr>
            <w:tcW w:type="dxa" w:w="1400"/>
            <w:shd w:fill="F2F2F2" w:val="clear"/>
            <w:tcMar>
              <w:top w:type="dxa" w:w="80"/>
              <w:left w:type="dxa" w:w="100"/>
              <w:bottom w:type="dxa" w:w="80"/>
              <w:right w:type="dxa" w:w="100"/>
            </w:tcMar>
          </w:tcPr>
          <w:p>
            <w:pPr>
              <w:jc w:val="left"/>
            </w:pPr>
            <w:r>
              <w:rPr>
                <w:b w:val="false"/>
                <w:bCs w:val="false"/>
                <w:sz w:val="18"/>
                <w:szCs w:val="18"/>
              </w:rPr>
              <w:t xml:space="preserve">High</w:t>
            </w:r>
          </w:p>
        </w:tc>
        <w:tc>
          <w:tcPr>
            <w:tcW w:type="dxa" w:w="4200"/>
            <w:shd w:fill="F2F2F2" w:val="clear"/>
            <w:tcMar>
              <w:top w:type="dxa" w:w="80"/>
              <w:left w:type="dxa" w:w="100"/>
              <w:bottom w:type="dxa" w:w="80"/>
              <w:right w:type="dxa" w:w="100"/>
            </w:tcMar>
          </w:tcPr>
          <w:p>
            <w:pPr>
              <w:jc w:val="left"/>
            </w:pPr>
            <w:r>
              <w:rPr>
                <w:b w:val="false"/>
                <w:bCs w:val="false"/>
                <w:sz w:val="18"/>
                <w:szCs w:val="18"/>
              </w:rPr>
              <w:t xml:space="preserve">Highest-priority item in Phase 4; dedicated design review before touching WorkflowTableCreator.cs / RepositorySqlHelper.cs.</w:t>
            </w:r>
          </w:p>
        </w:tc>
      </w:tr>
      <w:tr>
        <w:tc>
          <w:tcPr>
            <w:tcW w:type="dxa" w:w="3200"/>
            <w:shd w:fill="FFFFFF" w:val="clear"/>
            <w:tcMar>
              <w:top w:type="dxa" w:w="80"/>
              <w:left w:type="dxa" w:w="100"/>
              <w:bottom w:type="dxa" w:w="80"/>
              <w:right w:type="dxa" w:w="100"/>
            </w:tcMar>
          </w:tcPr>
          <w:p>
            <w:pPr>
              <w:jc w:val="left"/>
            </w:pPr>
            <w:r>
              <w:rPr>
                <w:b w:val="false"/>
                <w:bCs w:val="false"/>
                <w:sz w:val="18"/>
                <w:szCs w:val="18"/>
              </w:rPr>
              <w:t xml:space="preserve">Team Postgres operational experience gap</w:t>
            </w:r>
          </w:p>
        </w:tc>
        <w:tc>
          <w:tcPr>
            <w:tcW w:type="dxa" w:w="2000"/>
            <w:shd w:fill="FFFFFF" w:val="clear"/>
            <w:tcMar>
              <w:top w:type="dxa" w:w="80"/>
              <w:left w:type="dxa" w:w="100"/>
              <w:bottom w:type="dxa" w:w="80"/>
              <w:right w:type="dxa" w:w="100"/>
            </w:tcMar>
          </w:tcPr>
          <w:p>
            <w:pPr>
              <w:jc w:val="left"/>
            </w:pPr>
            <w:r>
              <w:rPr>
                <w:b w:val="false"/>
                <w:bCs w:val="false"/>
                <w:sz w:val="18"/>
                <w:szCs w:val="18"/>
              </w:rPr>
              <w:t xml:space="preserve">Slower incident response post-cutover</w:t>
            </w:r>
          </w:p>
        </w:tc>
        <w:tc>
          <w:tcPr>
            <w:tcW w:type="dxa" w:w="1400"/>
            <w:shd w:fill="FFFFFF" w:val="clear"/>
            <w:tcMar>
              <w:top w:type="dxa" w:w="80"/>
              <w:left w:type="dxa" w:w="100"/>
              <w:bottom w:type="dxa" w:w="80"/>
              <w:right w:type="dxa" w:w="100"/>
            </w:tcMar>
          </w:tcPr>
          <w:p>
            <w:pPr>
              <w:jc w:val="left"/>
            </w:pPr>
            <w:r>
              <w:rPr>
                <w:b w:val="false"/>
                <w:bCs w:val="false"/>
                <w:sz w:val="18"/>
                <w:szCs w:val="18"/>
              </w:rPr>
              <w:t xml:space="preserve">Medium</w:t>
            </w:r>
          </w:p>
        </w:tc>
        <w:tc>
          <w:tcPr>
            <w:tcW w:type="dxa" w:w="4200"/>
            <w:shd w:fill="FFFFFF" w:val="clear"/>
            <w:tcMar>
              <w:top w:type="dxa" w:w="80"/>
              <w:left w:type="dxa" w:w="100"/>
              <w:bottom w:type="dxa" w:w="80"/>
              <w:right w:type="dxa" w:w="100"/>
            </w:tcMar>
          </w:tcPr>
          <w:p>
            <w:pPr>
              <w:jc w:val="left"/>
            </w:pPr>
            <w:r>
              <w:rPr>
                <w:b w:val="false"/>
                <w:bCs w:val="false"/>
                <w:sz w:val="18"/>
                <w:szCs w:val="18"/>
              </w:rPr>
              <w:t xml:space="preserve">Use a managed Postgres (RDS / Azure Flexible Server) for the pilot phase; train or hire before Phase 9.</w:t>
            </w:r>
          </w:p>
        </w:tc>
      </w:tr>
      <w:tr>
        <w:tc>
          <w:tcPr>
            <w:tcW w:type="dxa" w:w="3200"/>
            <w:shd w:fill="F2F2F2" w:val="clear"/>
            <w:tcMar>
              <w:top w:type="dxa" w:w="80"/>
              <w:left w:type="dxa" w:w="100"/>
              <w:bottom w:type="dxa" w:w="80"/>
              <w:right w:type="dxa" w:w="100"/>
            </w:tcMar>
          </w:tcPr>
          <w:p>
            <w:pPr>
              <w:jc w:val="left"/>
            </w:pPr>
            <w:r>
              <w:rPr>
                <w:b w:val="false"/>
                <w:bCs w:val="false"/>
                <w:sz w:val="18"/>
                <w:szCs w:val="18"/>
              </w:rPr>
              <w:t xml:space="preserve">Parallel feature work colliding with data-layer changes</w:t>
            </w:r>
          </w:p>
        </w:tc>
        <w:tc>
          <w:tcPr>
            <w:tcW w:type="dxa" w:w="2000"/>
            <w:shd w:fill="F2F2F2" w:val="clear"/>
            <w:tcMar>
              <w:top w:type="dxa" w:w="80"/>
              <w:left w:type="dxa" w:w="100"/>
              <w:bottom w:type="dxa" w:w="80"/>
              <w:right w:type="dxa" w:w="100"/>
            </w:tcMar>
          </w:tcPr>
          <w:p>
            <w:pPr>
              <w:jc w:val="left"/>
            </w:pPr>
            <w:r>
              <w:rPr>
                <w:b w:val="false"/>
                <w:bCs w:val="false"/>
                <w:sz w:val="18"/>
                <w:szCs w:val="18"/>
              </w:rPr>
              <w:t xml:space="preserve">Merge conflicts, re-testing overhead</w:t>
            </w:r>
          </w:p>
        </w:tc>
        <w:tc>
          <w:tcPr>
            <w:tcW w:type="dxa" w:w="1400"/>
            <w:shd w:fill="F2F2F2" w:val="clear"/>
            <w:tcMar>
              <w:top w:type="dxa" w:w="80"/>
              <w:left w:type="dxa" w:w="100"/>
              <w:bottom w:type="dxa" w:w="80"/>
              <w:right w:type="dxa" w:w="100"/>
            </w:tcMar>
          </w:tcPr>
          <w:p>
            <w:pPr>
              <w:jc w:val="left"/>
            </w:pPr>
            <w:r>
              <w:rPr>
                <w:b w:val="false"/>
                <w:bCs w:val="false"/>
                <w:sz w:val="18"/>
                <w:szCs w:val="18"/>
              </w:rPr>
              <w:t xml:space="preserve">Medium</w:t>
            </w:r>
          </w:p>
        </w:tc>
        <w:tc>
          <w:tcPr>
            <w:tcW w:type="dxa" w:w="4200"/>
            <w:shd w:fill="F2F2F2" w:val="clear"/>
            <w:tcMar>
              <w:top w:type="dxa" w:w="80"/>
              <w:left w:type="dxa" w:w="100"/>
              <w:bottom w:type="dxa" w:w="80"/>
              <w:right w:type="dxa" w:w="100"/>
            </w:tcMar>
          </w:tcPr>
          <w:p>
            <w:pPr>
              <w:jc w:val="left"/>
            </w:pPr>
            <w:r>
              <w:rPr>
                <w:b w:val="false"/>
                <w:bCs w:val="false"/>
                <w:sz w:val="18"/>
                <w:szCs w:val="18"/>
              </w:rPr>
              <w:t xml:space="preserve">Consider a scoped feature freeze on the modules being ported (Workflow, Repository) during their Phase 4 window.</w:t>
            </w:r>
          </w:p>
        </w:tc>
      </w:tr>
    </w:tbl>
    <w:p>
      <w:pPr>
        <w:spacing w:after="200"/>
      </w:pPr>
    </w:p>
    <w:p>
      <w:pPr>
        <w:pStyle w:val="Heading1"/>
        <w:spacing w:after="160" w:before="360"/>
      </w:pPr>
      <w:r>
        <w:t xml:space="preserve">6. Verification &amp; Success Criteria</w:t>
      </w:r>
    </w:p>
    <w:p>
      <w:pPr>
        <w:spacing w:after="160"/>
      </w:pPr>
      <w:r>
        <w:t xml:space="preserve">Each phase in Section 4 has its own exit criteria. In addition, the program as a whole is not done until all of the following are true:</w:t>
      </w:r>
    </w:p>
    <w:p>
      <w:pPr>
        <w:pStyle w:val="ListParagraph"/>
        <w:numPr>
          <w:ilvl w:val="0"/>
          <w:numId w:val="1"/>
        </w:numPr>
        <w:spacing w:after="60"/>
      </w:pPr>
      <w:r>
        <w:t xml:space="preserve">Every tenant row in Catalog.dbo.Tenants points to a live, verified Postgres connection string (queried and confirmed reachable, not just rewritten).</w:t>
      </w:r>
    </w:p>
    <w:p>
      <w:pPr>
        <w:pStyle w:val="ListParagraph"/>
        <w:numPr>
          <w:ilvl w:val="0"/>
          <w:numId w:val="1"/>
        </w:numPr>
        <w:spacing w:after="60"/>
      </w:pPr>
      <w:r>
        <w:t xml:space="preserve">The full functional regression checklist in Phase 8 passes for every migrated tenant, not just the pilot.</w:t>
      </w:r>
    </w:p>
    <w:p>
      <w:pPr>
        <w:pStyle w:val="ListParagraph"/>
        <w:numPr>
          <w:ilvl w:val="0"/>
          <w:numId w:val="1"/>
        </w:numPr>
        <w:spacing w:after="60"/>
      </w:pPr>
      <w:r>
        <w:t xml:space="preserve">Hangfire's recurring and enqueued jobs show correct history/state after cutover for each tenant.</w:t>
      </w:r>
    </w:p>
    <w:p>
      <w:pPr>
        <w:pStyle w:val="ListParagraph"/>
        <w:numPr>
          <w:ilvl w:val="0"/>
          <w:numId w:val="1"/>
        </w:numPr>
        <w:spacing w:after="60"/>
      </w:pPr>
      <w:r>
        <w:t xml:space="preserve">No SQL Server connection, package reference, or T-SQL-only construct remains anywhere in src/ (final grep for Microsoft.Data.SqlClient, UseSqlServer, Hangfire.SqlServer returns zero results).</w:t>
      </w:r>
    </w:p>
    <w:p>
      <w:pPr>
        <w:pStyle w:val="ListParagraph"/>
        <w:numPr>
          <w:ilvl w:val="0"/>
          <w:numId w:val="1"/>
        </w:numPr>
        <w:spacing w:after="60"/>
      </w:pPr>
      <w:r>
        <w:t xml:space="preserve">The dynamic DDL engine has been exercised against at least one real production-shaped workflow and one real production-shaped repository, not just synthetic test data.</w:t>
      </w:r>
    </w:p>
    <w:p>
      <w:pPr>
        <w:pStyle w:val="ListParagraph"/>
        <w:numPr>
          <w:ilvl w:val="0"/>
          <w:numId w:val="1"/>
        </w:numPr>
        <w:spacing w:after="60"/>
      </w:pPr>
      <w:r>
        <w:t xml:space="preserve">A rollback runbook exists and was rehearsed at least once during Phase 7, even if never needed in production.</w:t>
      </w:r>
    </w:p>
    <w:p>
      <w:pPr>
        <w:spacing w:after="200"/>
      </w:pPr>
    </w:p>
    <w:p>
      <w:pPr>
        <w:pStyle w:val="Heading1"/>
        <w:spacing w:after="160" w:before="360"/>
      </w:pPr>
      <w:r>
        <w:t xml:space="preserve">7. Inputs Needed From You</w:t>
      </w:r>
    </w:p>
    <w:p>
      <w:pPr>
        <w:spacing w:after="160"/>
      </w:pPr>
      <w:r>
        <w:t xml:space="preserve">The phase durations above assume a 2–3 engineer team and are provisional. To turn this into a committed schedule, the following are needed:</w:t>
      </w:r>
    </w:p>
    <w:p>
      <w:pPr>
        <w:pStyle w:val="ListParagraph"/>
        <w:numPr>
          <w:ilvl w:val="0"/>
          <w:numId w:val="1"/>
        </w:numPr>
        <w:spacing w:after="60"/>
      </w:pPr>
      <w:r>
        <w:t xml:space="preserve">Actual engineering headcount available for this program, and whether it is dedicated or split with other work.</w:t>
      </w:r>
    </w:p>
    <w:p>
      <w:pPr>
        <w:pStyle w:val="ListParagraph"/>
        <w:numPr>
          <w:ilvl w:val="0"/>
          <w:numId w:val="1"/>
        </w:numPr>
        <w:spacing w:after="60"/>
      </w:pPr>
      <w:r>
        <w:t xml:space="preserve">Number of live tenants today — this directly sizes Phase 9 (cutover) duration.</w:t>
      </w:r>
    </w:p>
    <w:p>
      <w:pPr>
        <w:pStyle w:val="ListParagraph"/>
        <w:numPr>
          <w:ilvl w:val="0"/>
          <w:numId w:val="1"/>
        </w:numPr>
        <w:spacing w:after="60"/>
      </w:pPr>
      <w:r>
        <w:t xml:space="preserve">Acceptable downtime window per tenant during cutover (minutes vs. a maintenance window vs. zero-downtime dual-write).</w:t>
      </w:r>
    </w:p>
    <w:p>
      <w:pPr>
        <w:pStyle w:val="ListParagraph"/>
        <w:numPr>
          <w:ilvl w:val="0"/>
          <w:numId w:val="1"/>
        </w:numPr>
        <w:spacing w:after="60"/>
      </w:pPr>
      <w:r>
        <w:t xml:space="preserve">Target Postgres hosting (AWS RDS / Azure Flexible Server / self-managed) — affects Phase 0 scratch-instance setup and Phase 9 operational readiness.</w:t>
      </w:r>
    </w:p>
    <w:p>
      <w:pPr>
        <w:pStyle w:val="ListParagraph"/>
        <w:numPr>
          <w:ilvl w:val="0"/>
          <w:numId w:val="1"/>
        </w:numPr>
        <w:spacing w:after="60"/>
      </w:pPr>
      <w:r>
        <w:t xml:space="preserve">Whether a feature freeze on Workflow/Repository modules is acceptable during their Phase 4 window, or whether the migration must proceed alongside active feature work.</w:t>
      </w:r>
    </w:p>
    <w:p>
      <w:pPr>
        <w:spacing w:after="200"/>
      </w:pPr>
    </w:p>
    <w:p>
      <w:pPr>
        <w:pStyle w:val="Heading1"/>
        <w:spacing w:after="160" w:before="360"/>
      </w:pPr>
      <w:r>
        <w:t xml:space="preserve">8. References</w:t>
      </w:r>
    </w:p>
    <w:p>
      <w:pPr>
        <w:pStyle w:val="ListParagraph"/>
        <w:numPr>
          <w:ilvl w:val="0"/>
          <w:numId w:val="1"/>
        </w:numPr>
        <w:spacing w:after="60"/>
      </w:pPr>
      <w:r>
        <w:t xml:space="preserve">POSTGRESQL_MIGRATION_ENGINEERING_PLAN.md — docs/ — full file-by-file inventory, T-SQL construct table, data type mapping, EF migration strategy.</w:t>
      </w:r>
    </w:p>
    <w:p>
      <w:pPr>
        <w:pStyle w:val="ListParagraph"/>
        <w:numPr>
          <w:ilvl w:val="0"/>
          <w:numId w:val="1"/>
        </w:numPr>
        <w:spacing w:after="60"/>
      </w:pPr>
      <w:r>
        <w:t xml:space="preserve">SQLSERVER_VS_POSTGRESQL_MIGRATION_PREP.md — docs/ — management-facing feasibility memo, cost comparison, risk summary.</w:t>
      </w:r>
    </w:p>
    <w:p>
      <w:pPr>
        <w:pStyle w:val="ListParagraph"/>
        <w:numPr>
          <w:ilvl w:val="0"/>
          <w:numId w:val="1"/>
        </w:numPr>
        <w:spacing w:after="60"/>
      </w:pPr>
      <w:r>
        <w:t xml:space="preserve">Companion tracker: PostgreSQL_Migration_Task_Tracker.xlsx — the task-level breakdown of Phase 3/4's file and script lists, with status columns for day-to-day tracking.</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2026-08-10T16:35:17.422Z</dcterms:created>
  <dcterms:modified xsi:type="dcterms:W3CDTF">2026-08-10T16:35:17.434Z</dcterms:modified>
</cp:coreProperties>
</file>

<file path=docProps/custom.xml><?xml version="1.0" encoding="utf-8"?>
<Properties xmlns="http://schemas.openxmlformats.org/officeDocument/2006/custom-properties" xmlns:vt="http://schemas.openxmlformats.org/officeDocument/2006/docPropsVTypes"/>
</file>