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6671" w:rsidRPr="00096E82" w:rsidRDefault="008C6671" w:rsidP="008C6671">
      <w:pPr>
        <w:pStyle w:val="Header"/>
        <w:rPr>
          <w:sz w:val="40"/>
        </w:rPr>
      </w:pPr>
      <w:r w:rsidRPr="00096E82">
        <w:rPr>
          <w:b/>
          <w:sz w:val="22"/>
          <w:u w:val="single"/>
        </w:rPr>
        <w:t xml:space="preserve">Doc KAF-20                                                                                                                                      </w:t>
      </w:r>
      <w:r>
        <w:rPr>
          <w:b/>
          <w:sz w:val="22"/>
          <w:u w:val="single"/>
        </w:rPr>
        <w:t>2025.01</w:t>
      </w:r>
    </w:p>
    <w:p w:rsidR="008C6671" w:rsidRPr="00096E82" w:rsidRDefault="008C6671" w:rsidP="008C6671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</w:rPr>
      </w:pPr>
    </w:p>
    <w:p w:rsidR="008C6671" w:rsidRPr="00096E82" w:rsidRDefault="008C6671" w:rsidP="008C6671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  <w:sz w:val="32"/>
        </w:rPr>
      </w:pPr>
      <w:bookmarkStart w:id="0" w:name="_Hlk194394343"/>
      <w:r w:rsidRPr="00096E82">
        <w:rPr>
          <w:b/>
          <w:sz w:val="32"/>
        </w:rPr>
        <w:t>Observation Reports</w:t>
      </w:r>
    </w:p>
    <w:bookmarkEnd w:id="0"/>
    <w:p w:rsidR="008C6671" w:rsidRPr="00096E82" w:rsidRDefault="008C6671" w:rsidP="008C6671">
      <w:pPr>
        <w:pStyle w:val="Header"/>
        <w:tabs>
          <w:tab w:val="clear" w:pos="4252"/>
          <w:tab w:val="clear" w:pos="8504"/>
        </w:tabs>
        <w:snapToGrid/>
        <w:jc w:val="center"/>
        <w:outlineLvl w:val="0"/>
        <w:rPr>
          <w:b/>
        </w:rPr>
      </w:pPr>
    </w:p>
    <w:tbl>
      <w:tblPr>
        <w:tblW w:w="9901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0"/>
        <w:gridCol w:w="3485"/>
        <w:gridCol w:w="1266"/>
        <w:gridCol w:w="623"/>
        <w:gridCol w:w="1052"/>
        <w:gridCol w:w="1902"/>
        <w:gridCol w:w="13"/>
      </w:tblGrid>
      <w:tr w:rsidR="008C6671" w:rsidRPr="00096E82" w:rsidTr="00B46DB5">
        <w:trPr>
          <w:trHeight w:val="581"/>
        </w:trPr>
        <w:tc>
          <w:tcPr>
            <w:tcW w:w="1560" w:type="dxa"/>
          </w:tcPr>
          <w:p w:rsidR="008C6671" w:rsidRPr="00096E82" w:rsidRDefault="008C6671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</w:rPr>
            </w:pPr>
            <w:r w:rsidRPr="00096E82">
              <w:rPr>
                <w:b/>
              </w:rPr>
              <w:t>Organization:</w:t>
            </w:r>
          </w:p>
        </w:tc>
        <w:tc>
          <w:tcPr>
            <w:tcW w:w="3485" w:type="dxa"/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  <w:r>
              <w:rPr>
                <w:rFonts w:eastAsia="신명조"/>
                <w:sz w:val="20"/>
                <w:szCs w:val="20"/>
              </w:rPr>
              <w:t>CARGOMAR PVT. LTD.</w:t>
            </w:r>
          </w:p>
        </w:tc>
        <w:tc>
          <w:tcPr>
            <w:tcW w:w="1266" w:type="dxa"/>
          </w:tcPr>
          <w:p w:rsidR="008C6671" w:rsidRPr="00096E82" w:rsidRDefault="008C6671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  <w:sz w:val="22"/>
              </w:rPr>
            </w:pPr>
            <w:r w:rsidRPr="00096E82">
              <w:rPr>
                <w:b/>
              </w:rPr>
              <w:t>Audit No.</w:t>
            </w:r>
          </w:p>
        </w:tc>
        <w:tc>
          <w:tcPr>
            <w:tcW w:w="1675" w:type="dxa"/>
            <w:gridSpan w:val="2"/>
          </w:tcPr>
          <w:p w:rsidR="008C6671" w:rsidRPr="00096E82" w:rsidRDefault="008C6671" w:rsidP="00B46DB5">
            <w:r w:rsidRPr="00DB388D">
              <w:rPr>
                <w:sz w:val="20"/>
              </w:rPr>
              <w:t>IKVQ20260401</w:t>
            </w:r>
          </w:p>
        </w:tc>
        <w:tc>
          <w:tcPr>
            <w:tcW w:w="1915" w:type="dxa"/>
            <w:gridSpan w:val="2"/>
          </w:tcPr>
          <w:p w:rsidR="008C6671" w:rsidRPr="00096E82" w:rsidRDefault="008C6671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jc w:val="center"/>
              <w:outlineLvl w:val="0"/>
              <w:rPr>
                <w:b/>
                <w:sz w:val="22"/>
              </w:rPr>
            </w:pPr>
            <w:r w:rsidRPr="00096E82">
              <w:t>Page:</w:t>
            </w:r>
            <w:r w:rsidRPr="00096E82">
              <w:rPr>
                <w:caps/>
              </w:rPr>
              <w:t xml:space="preserve"> 1/</w:t>
            </w:r>
            <w:r w:rsidRPr="00096E82">
              <w:t xml:space="preserve">1   </w:t>
            </w: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</w:trPr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double" w:sz="4" w:space="0" w:color="auto"/>
            </w:tcBorders>
            <w:vAlign w:val="center"/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Department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74" w:type="dxa"/>
            <w:gridSpan w:val="3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Contents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1052" w:type="dxa"/>
            <w:tcBorders>
              <w:top w:val="single" w:sz="12" w:space="0" w:color="auto"/>
              <w:bottom w:val="double" w:sz="4" w:space="0" w:color="auto"/>
            </w:tcBorders>
            <w:vAlign w:val="center"/>
          </w:tcPr>
          <w:p w:rsidR="008C6671" w:rsidRPr="00096E82" w:rsidRDefault="008C6671" w:rsidP="00B46DB5">
            <w:pPr>
              <w:tabs>
                <w:tab w:val="left" w:pos="2410"/>
                <w:tab w:val="left" w:pos="4678"/>
                <w:tab w:val="left" w:pos="7655"/>
              </w:tabs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ISO</w:t>
            </w:r>
          </w:p>
          <w:p w:rsidR="008C6671" w:rsidRPr="00096E82" w:rsidRDefault="008C6671" w:rsidP="00B46DB5">
            <w:pPr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Element</w:t>
            </w:r>
          </w:p>
        </w:tc>
        <w:tc>
          <w:tcPr>
            <w:tcW w:w="1902" w:type="dxa"/>
            <w:tcBorders>
              <w:top w:val="single" w:sz="12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  <w:r w:rsidRPr="00096E82">
              <w:rPr>
                <w:b/>
                <w:sz w:val="20"/>
                <w:szCs w:val="20"/>
              </w:rPr>
              <w:t>Grade of NC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65"/>
        </w:trPr>
        <w:tc>
          <w:tcPr>
            <w:tcW w:w="1560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5374" w:type="dxa"/>
            <w:gridSpan w:val="3"/>
            <w:tcBorders>
              <w:top w:val="double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b/>
                <w:sz w:val="20"/>
                <w:szCs w:val="20"/>
              </w:rPr>
            </w:pPr>
            <w:r w:rsidRPr="00096E82">
              <w:rPr>
                <w:b/>
                <w:sz w:val="20"/>
              </w:rPr>
              <w:t>Points for Improvements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55"/>
        </w:trPr>
        <w:tc>
          <w:tcPr>
            <w:tcW w:w="1560" w:type="dxa"/>
            <w:tcBorders>
              <w:top w:val="double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ouble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pStyle w:val="BodyText3"/>
              <w:rPr>
                <w:sz w:val="20"/>
              </w:rPr>
            </w:pPr>
            <w:r w:rsidRPr="00096E82">
              <w:rPr>
                <w:sz w:val="20"/>
              </w:rPr>
              <w:t xml:space="preserve">                      </w:t>
            </w:r>
          </w:p>
        </w:tc>
        <w:tc>
          <w:tcPr>
            <w:tcW w:w="1052" w:type="dxa"/>
            <w:tcBorders>
              <w:top w:val="double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ouble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6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19042B" w:rsidRDefault="008C6671" w:rsidP="00B46DB5">
            <w:pPr>
              <w:rPr>
                <w:sz w:val="20"/>
                <w:szCs w:val="20"/>
              </w:rPr>
            </w:pPr>
            <w:r w:rsidRPr="0019042B">
              <w:rPr>
                <w:sz w:val="20"/>
                <w:szCs w:val="20"/>
              </w:rPr>
              <w:t>Risk factors (delay, damage) are understood informally and formal risk assessment can help control them.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Observation </w:t>
            </w: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73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19042B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19042B" w:rsidRDefault="008C6671" w:rsidP="00B46DB5">
            <w:pPr>
              <w:rPr>
                <w:sz w:val="20"/>
                <w:szCs w:val="20"/>
              </w:rPr>
            </w:pPr>
            <w:r w:rsidRPr="0019042B">
              <w:rPr>
                <w:sz w:val="20"/>
                <w:szCs w:val="20"/>
              </w:rPr>
              <w:t>Vehicles are available for dispatch, but a documented pre-dispatch checklist may improve consistency.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25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19042B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20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19042B" w:rsidRDefault="008C6671" w:rsidP="00B46DB5">
            <w:pPr>
              <w:rPr>
                <w:sz w:val="20"/>
                <w:szCs w:val="20"/>
              </w:rPr>
            </w:pPr>
            <w:r w:rsidRPr="0019042B">
              <w:rPr>
                <w:sz w:val="20"/>
                <w:szCs w:val="20"/>
              </w:rPr>
              <w:t>Communication with customers is ongoing, but real-time tracking updates can be enhanced.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1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19042B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19042B" w:rsidRDefault="008C6671" w:rsidP="00B46DB5">
            <w:pPr>
              <w:rPr>
                <w:sz w:val="20"/>
                <w:szCs w:val="20"/>
              </w:rPr>
            </w:pPr>
            <w:r w:rsidRPr="0019042B">
              <w:rPr>
                <w:sz w:val="20"/>
                <w:szCs w:val="20"/>
              </w:rPr>
              <w:t>Safety practices are partially followed and consistent PPE usage can be ensured.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417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19042B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19042B" w:rsidRDefault="008C6671" w:rsidP="00B46DB5">
            <w:pPr>
              <w:rPr>
                <w:sz w:val="20"/>
                <w:szCs w:val="20"/>
              </w:rPr>
            </w:pPr>
            <w:r w:rsidRPr="0019042B">
              <w:rPr>
                <w:sz w:val="20"/>
                <w:szCs w:val="20"/>
              </w:rPr>
              <w:t>Documentation is available and completeness of records can be improved.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317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19042B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19042B" w:rsidRDefault="008C6671" w:rsidP="00B46DB5">
            <w:pPr>
              <w:rPr>
                <w:sz w:val="20"/>
                <w:szCs w:val="20"/>
              </w:rPr>
            </w:pPr>
            <w:r w:rsidRPr="0019042B">
              <w:rPr>
                <w:sz w:val="20"/>
                <w:szCs w:val="20"/>
              </w:rPr>
              <w:t>Loading and unloading activities are being performed and handling methods can be further improved to minimize damage.</w:t>
            </w: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Observation</w:t>
            </w:r>
          </w:p>
        </w:tc>
      </w:tr>
      <w:tr w:rsidR="008C6671" w:rsidRPr="00096E82" w:rsidTr="00B46DB5">
        <w:tblPrEx>
          <w:tblCellMar>
            <w:left w:w="99" w:type="dxa"/>
            <w:right w:w="99" w:type="dxa"/>
          </w:tblCellMar>
        </w:tblPrEx>
        <w:trPr>
          <w:gridAfter w:val="1"/>
          <w:wAfter w:w="13" w:type="dxa"/>
          <w:trHeight w:val="510"/>
        </w:trPr>
        <w:tc>
          <w:tcPr>
            <w:tcW w:w="1560" w:type="dxa"/>
            <w:tcBorders>
              <w:top w:val="dashed" w:sz="4" w:space="0" w:color="auto"/>
              <w:left w:val="single" w:sz="12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374" w:type="dxa"/>
            <w:gridSpan w:val="3"/>
            <w:tcBorders>
              <w:top w:val="dashed" w:sz="4" w:space="0" w:color="auto"/>
              <w:bottom w:val="dashed" w:sz="4" w:space="0" w:color="auto"/>
            </w:tcBorders>
          </w:tcPr>
          <w:p w:rsidR="008C6671" w:rsidRPr="0071241B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052" w:type="dxa"/>
            <w:tcBorders>
              <w:top w:val="dashed" w:sz="4" w:space="0" w:color="auto"/>
              <w:bottom w:val="dashed" w:sz="4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dashed" w:sz="4" w:space="0" w:color="auto"/>
              <w:bottom w:val="dashed" w:sz="4" w:space="0" w:color="auto"/>
              <w:right w:val="single" w:sz="12" w:space="0" w:color="auto"/>
            </w:tcBorders>
          </w:tcPr>
          <w:p w:rsidR="008C6671" w:rsidRPr="00096E82" w:rsidRDefault="008C6671" w:rsidP="00B46DB5">
            <w:pPr>
              <w:rPr>
                <w:sz w:val="20"/>
                <w:szCs w:val="20"/>
              </w:rPr>
            </w:pPr>
          </w:p>
        </w:tc>
      </w:tr>
    </w:tbl>
    <w:p w:rsidR="008C6671" w:rsidRPr="00096E82" w:rsidRDefault="008C6671" w:rsidP="008C6671">
      <w:pPr>
        <w:rPr>
          <w:sz w:val="20"/>
          <w:szCs w:val="20"/>
          <w:lang w:val="fr-LU"/>
        </w:rPr>
        <w:sectPr w:rsidR="008C6671" w:rsidRPr="00096E82">
          <w:headerReference w:type="default" r:id="rId4"/>
          <w:pgSz w:w="11906" w:h="16838"/>
          <w:pgMar w:top="1418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type="lines" w:linePitch="360"/>
        </w:sectPr>
      </w:pPr>
      <w:r w:rsidRPr="00096E82">
        <w:rPr>
          <w:sz w:val="20"/>
          <w:szCs w:val="20"/>
          <w:lang w:val="fr-LU"/>
        </w:rPr>
        <w:t xml:space="preserve"> Auditor : </w:t>
      </w:r>
      <w:r w:rsidRPr="00C36B51">
        <w:rPr>
          <w:sz w:val="20"/>
          <w:szCs w:val="18"/>
        </w:rPr>
        <w:t>KANCHAN KUMAR</w:t>
      </w:r>
      <w:r w:rsidRPr="00096E82">
        <w:rPr>
          <w:sz w:val="20"/>
          <w:szCs w:val="20"/>
          <w:lang w:val="fr-LU"/>
        </w:rPr>
        <w:t xml:space="preserve"> (signature)</w:t>
      </w:r>
      <w:r>
        <w:rPr>
          <w:sz w:val="20"/>
          <w:szCs w:val="20"/>
          <w:lang w:val="fr-LU"/>
        </w:rPr>
        <w:t xml:space="preserve">.                                                         </w:t>
      </w:r>
      <w:r w:rsidRPr="00096E82">
        <w:rPr>
          <w:sz w:val="20"/>
          <w:szCs w:val="20"/>
          <w:lang w:val="fr-LU"/>
        </w:rPr>
        <w:t xml:space="preserve">Audit date : </w:t>
      </w:r>
      <w:r>
        <w:rPr>
          <w:sz w:val="20"/>
          <w:lang w:val="fr-LU"/>
        </w:rPr>
        <w:t>20-21-March-2026</w:t>
      </w:r>
      <w:r w:rsidRPr="00096E82">
        <w:rPr>
          <w:sz w:val="20"/>
          <w:szCs w:val="20"/>
          <w:lang w:val="fr-LU"/>
        </w:rPr>
        <w:tab/>
      </w:r>
    </w:p>
    <w:p w:rsidR="00D25526" w:rsidRDefault="00D25526">
      <w:bookmarkStart w:id="1" w:name="_GoBack"/>
      <w:bookmarkEnd w:id="1"/>
    </w:p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72A64" w:rsidRDefault="008C667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671"/>
    <w:rsid w:val="008C6671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183126-29AD-4CB6-9352-145EA163B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66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link w:val="BodyText3Char"/>
    <w:rsid w:val="008C6671"/>
    <w:pPr>
      <w:widowControl w:val="0"/>
      <w:wordWrap w:val="0"/>
      <w:jc w:val="both"/>
    </w:pPr>
    <w:rPr>
      <w:rFonts w:eastAsia="Courier New"/>
      <w:kern w:val="2"/>
      <w:szCs w:val="20"/>
      <w:lang w:eastAsia="ko-KR"/>
    </w:rPr>
  </w:style>
  <w:style w:type="character" w:customStyle="1" w:styleId="BodyText3Char">
    <w:name w:val="Body Text 3 Char"/>
    <w:basedOn w:val="DefaultParagraphFont"/>
    <w:link w:val="BodyText3"/>
    <w:rsid w:val="008C6671"/>
    <w:rPr>
      <w:rFonts w:ascii="Times New Roman" w:eastAsia="Courier New" w:hAnsi="Times New Roman" w:cs="Times New Roman"/>
      <w:kern w:val="2"/>
      <w:sz w:val="24"/>
      <w:szCs w:val="20"/>
      <w:lang w:val="en-IN" w:eastAsia="ko-KR"/>
    </w:rPr>
  </w:style>
  <w:style w:type="paragraph" w:styleId="Header">
    <w:name w:val="header"/>
    <w:basedOn w:val="Normal"/>
    <w:link w:val="HeaderChar"/>
    <w:qFormat/>
    <w:rsid w:val="008C6671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8C6671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2026-05-18T05:12:00Z</dcterms:created>
  <dcterms:modified xsi:type="dcterms:W3CDTF">2026-05-18T05:12:00Z</dcterms:modified>
</cp:coreProperties>
</file>