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p w:rsidR="00297643" w:rsidRDefault="00297643" w:rsidP="00663EED">
            <w:pPr>
              <w:rPr>
                <w:rFonts w:ascii="Times New Roman" w:eastAsia="Times New Roman" w:hAnsi="Times New Roman" w:cs="Times New Roman"/>
                <w:sz w:val="20"/>
                <w:szCs w:val="20"/>
                <w:shd w:val="clear" w:color="auto" w:fill="FFFFFF"/>
                <w:lang w:val="en-US"/>
              </w:rPr>
            </w:pPr>
          </w:p>
          <w:p w:rsidR="00297643" w:rsidRPr="006529AD" w:rsidRDefault="00297643" w:rsidP="00663EED">
            <w:pPr>
              <w:rPr>
                <w:rFonts w:ascii="Times New Roman" w:eastAsia="Times New Roman" w:hAnsi="Times New Roman" w:cs="Times New Roman"/>
                <w:sz w:val="20"/>
                <w:szCs w:val="20"/>
                <w:shd w:val="clear" w:color="auto" w:fill="FFFFFF"/>
                <w:lang w:val="en-US"/>
              </w:rPr>
            </w:pPr>
            <w:r w:rsidRPr="0093144D">
              <w:rPr>
                <w:rFonts w:ascii="Times New Roman" w:eastAsia="Cambria" w:hAnsi="Times New Roman" w:cs="Times New Roman"/>
                <w:bCs/>
                <w:sz w:val="20"/>
                <w:szCs w:val="20"/>
                <w:highlight w:val="yellow"/>
              </w:rPr>
              <w:t>4.1 A Has Climate Change has been considered and if determined to be a relevant issue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Default="00663EED" w:rsidP="009D1D12">
            <w:pPr>
              <w:pStyle w:val="Header"/>
              <w:rPr>
                <w:rFonts w:ascii="Times New Roman" w:hAnsi="Times New Roman" w:cs="Times New Roman"/>
                <w:sz w:val="20"/>
                <w:szCs w:val="20"/>
              </w:rPr>
            </w:pPr>
          </w:p>
          <w:p w:rsidR="00297643" w:rsidRPr="0093144D" w:rsidRDefault="00297643" w:rsidP="00297643">
            <w:pPr>
              <w:spacing w:line="214" w:lineRule="auto"/>
              <w:ind w:left="3" w:right="20"/>
              <w:jc w:val="both"/>
              <w:rPr>
                <w:rFonts w:ascii="Times New Roman" w:eastAsia="Cambria" w:hAnsi="Times New Roman" w:cs="Times New Roman"/>
                <w:bCs/>
                <w:sz w:val="20"/>
                <w:szCs w:val="20"/>
              </w:rPr>
            </w:pPr>
            <w:r w:rsidRPr="0093144D">
              <w:rPr>
                <w:rFonts w:ascii="Times New Roman" w:eastAsia="Cambria" w:hAnsi="Times New Roman" w:cs="Times New Roman"/>
                <w:bCs/>
                <w:sz w:val="20"/>
                <w:szCs w:val="20"/>
                <w:highlight w:val="yellow"/>
              </w:rPr>
              <w:t xml:space="preserve">The client has analyses its operations and its effect on climate change and to mitigate the effects verified in this Ref: </w:t>
            </w:r>
            <w:proofErr w:type="gramStart"/>
            <w:r w:rsidRPr="0093144D">
              <w:rPr>
                <w:rFonts w:ascii="Times New Roman" w:eastAsia="Cambria" w:hAnsi="Times New Roman" w:cs="Times New Roman"/>
                <w:bCs/>
                <w:sz w:val="20"/>
                <w:szCs w:val="20"/>
                <w:highlight w:val="yellow"/>
              </w:rPr>
              <w:t xml:space="preserve">{{ </w:t>
            </w:r>
            <w:proofErr w:type="spellStart"/>
            <w:r w:rsidRPr="0093144D">
              <w:rPr>
                <w:rFonts w:ascii="Times New Roman" w:eastAsia="Cambria" w:hAnsi="Times New Roman" w:cs="Times New Roman"/>
                <w:bCs/>
                <w:sz w:val="20"/>
                <w:szCs w:val="20"/>
                <w:highlight w:val="yellow"/>
              </w:rPr>
              <w:t>manual</w:t>
            </w:r>
            <w:proofErr w:type="gramEnd"/>
            <w:r w:rsidRPr="0093144D">
              <w:rPr>
                <w:rFonts w:ascii="Times New Roman" w:eastAsia="Cambria" w:hAnsi="Times New Roman" w:cs="Times New Roman"/>
                <w:bCs/>
                <w:sz w:val="20"/>
                <w:szCs w:val="20"/>
                <w:highlight w:val="yellow"/>
              </w:rPr>
              <w:t>_number</w:t>
            </w:r>
            <w:proofErr w:type="spellEnd"/>
            <w:r w:rsidRPr="0093144D">
              <w:rPr>
                <w:rFonts w:ascii="Times New Roman" w:eastAsia="Cambria" w:hAnsi="Times New Roman" w:cs="Times New Roman"/>
                <w:bCs/>
                <w:sz w:val="20"/>
                <w:szCs w:val="20"/>
                <w:highlight w:val="yellow"/>
              </w:rPr>
              <w:t xml:space="preserve"> }}.</w:t>
            </w:r>
          </w:p>
          <w:p w:rsidR="00297643" w:rsidRPr="009D1D12" w:rsidRDefault="00297643" w:rsidP="009D1D12">
            <w:pPr>
              <w:pStyle w:val="Header"/>
              <w:rPr>
                <w:rFonts w:ascii="Times New Roman" w:hAnsi="Times New Roman" w:cs="Times New Roman"/>
                <w:sz w:val="20"/>
                <w:szCs w:val="20"/>
              </w:rPr>
            </w:pPr>
            <w:bookmarkStart w:id="0" w:name="_GoBack"/>
            <w:bookmarkEnd w:id="0"/>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Management demonstrates accountability and communicates EMS importance effectively. Environmental objectives are set, and staff are guided to achieve intended EMS outcomes, supporting continual improvement across the organization.</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20755F"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Leadership communications, strategic planning records, training records, environmental objectives &amp; targets documentation, management responsibility assignments.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Responsibilities and authorities are documented and assigned to relevant personnel, enabling conformity to EMS requirements and structured reporting of environmental performance to top management. Staff are aware of their EMS duties.</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2256C3"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Job descriptions, delegation of authority records, performance reporting logs, EMS procedure manuals, management review inputs.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EMS actions are documented, implemented, and evaluated for effectiveness, considering financial, operational, and technological needs.</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16410D"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EMS records, evaluation reports, planning meeting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Actions to achieve environmental objectives are documented, resourced, assigned, and scheduled with clear evaluation methods, ensuring alignment with organizational processes and measurable outcomes.</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6571A2" w:rsidRPr="00C15430" w:rsidRDefault="00F13212" w:rsidP="00F13212">
            <w:pPr>
              <w:rPr>
                <w:rFonts w:ascii="Times New Roman" w:eastAsia="Times New Roman" w:hAnsi="Times New Roman" w:cs="Times New Roman"/>
                <w:color w:val="FF0000"/>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EMS action plans, resource allocation records, progress reports, KPI tracking sheets.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Adequate resources are provided to support EMS operations, including personnel competency, technology, and financial support. Management ensures these resources are available and sufficient for achieving EMS intended outcomes and supporting continual improvement initiatives.</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7E760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Resource planning documents, EMS implementation records, management review notes, equipment &amp; facility logs.</w:t>
            </w: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Auditor verified that personnel are aware of the environmental policy, significant aspects, and their role in EMS effectiveness. Verification included reviewing the annual training plan and confirming that the “EMS Induction &amp; Environmental Awareness” training for new staff was conducted. Attendance records for this session were also checked.</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EE4EDE" w:rsidRPr="006529AD"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Annual training plan, EMS induction training records, environmental awareness training completion sheets, attendance logs, training evaluation forms.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External and internal communication processes were reviewed. Auditor confirmed that external stakeholder notification on environmental performance was issued as per plan, and internal training session updates were communicated, with evidence in attendance and distribution records.</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6571A2"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Annual communication schedule, EMS external communication records, internal notice logs, attendance sheets, email communication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I confirmed that EMS-related internal updates are communicated effectively. I checked that the Significant Environmental Aspects Awareness session was shared internally, with circulation logs and training attendance records verified.</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D83BB5"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Internal communication logs, attendance sheets, training notices, meeting minutes.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I verified that external communication regarding EMS is implemented as planned. I checked regulatory reporting on emissions submitted to authorities and confirmed via submission records and emails.</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CF71D9"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Regulatory submission records, external communication logs, compliance reporting emails, EMS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Documented information for EMS is established, controlled, and maintained. Management review records, training logs, and operational procedure documents were examined to ensure completeness and alignment with ISO 14001 requirements.</w:t>
            </w:r>
          </w:p>
          <w:p w:rsidR="00137B35" w:rsidRPr="00137B35"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p>
          <w:p w:rsidR="006571A2" w:rsidRPr="006529AD"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Management review records, training records, operational procedures, document control logs, audit reports.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are correctly identified, formatted, and reviewed prior to release. Evidence included approved operational procedure updates and training material revisions with documented review and approval signatures.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6571A2"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Seen: Operational procedure documents, training materials, revision history logs, document approval sheets, EMS electronic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C15430" w:rsidRDefault="00C15430" w:rsidP="001710FC">
            <w:pPr>
              <w:rPr>
                <w:rFonts w:ascii="Times New Roman" w:eastAsia="Times New Roman" w:hAnsi="Times New Roman" w:cs="Times New Roman"/>
                <w:b/>
                <w:sz w:val="20"/>
                <w:szCs w:val="20"/>
                <w:shd w:val="clear" w:color="auto" w:fill="FFFFFF"/>
                <w:lang w:val="en-US"/>
              </w:rPr>
            </w:pPr>
          </w:p>
          <w:p w:rsidR="00C15430" w:rsidRPr="00C15430" w:rsidRDefault="001860AC" w:rsidP="001860AC">
            <w:pPr>
              <w:spacing w:after="160" w:line="259" w:lineRule="auto"/>
              <w:rPr>
                <w:rFonts w:ascii="Times New Roman" w:eastAsia="Times New Roman" w:hAnsi="Times New Roman" w:cs="Times New Roman"/>
                <w:b/>
                <w:color w:val="FF000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BE2B93">
              <w:rPr>
                <w:rFonts w:ascii="Times New Roman" w:eastAsia="Times New Roman" w:hAnsi="Times New Roman" w:cs="Times New Roman"/>
                <w:sz w:val="20"/>
                <w:szCs w:val="20"/>
                <w:shd w:val="clear" w:color="auto" w:fill="FFFFFF"/>
                <w:lang w:val="en-US"/>
              </w:rPr>
              <w:t>Control</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information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71591E">
              <w:rPr>
                <w:rFonts w:ascii="Times New Roman" w:eastAsia="Times New Roman" w:hAnsi="Times New Roman" w:cs="Times New Roman"/>
                <w:sz w:val="20"/>
                <w:szCs w:val="20"/>
                <w:shd w:val="clear" w:color="auto" w:fill="FFFFFF"/>
                <w:lang w:val="en-US"/>
              </w:rPr>
              <w:t>he organization evaluates and acts on improvement opportunities to enhance EMS effectiveness. CAPA records, process improvement initiatives, and KPI analysis were examined as evidence of implemented improvements.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1710FC"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 xml:space="preserve">Documents Seen: CAPA logs, improvement project documentation, KPI </w:t>
            </w:r>
            <w:r w:rsidRPr="0071591E">
              <w:rPr>
                <w:rFonts w:ascii="Times New Roman" w:eastAsia="Times New Roman" w:hAnsi="Times New Roman" w:cs="Times New Roman"/>
                <w:sz w:val="20"/>
                <w:szCs w:val="20"/>
                <w:shd w:val="clear" w:color="auto" w:fill="FFFFFF"/>
                <w:lang w:val="en-US"/>
              </w:rPr>
              <w:lastRenderedPageBreak/>
              <w:t>reports, management review records, monitoring and measurement reports.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C</w:t>
            </w:r>
            <w:r w:rsidRPr="0071591E">
              <w:rPr>
                <w:rFonts w:ascii="Times New Roman" w:eastAsia="Times New Roman" w:hAnsi="Times New Roman" w:cs="Times New Roman"/>
                <w:sz w:val="20"/>
                <w:szCs w:val="20"/>
                <w:shd w:val="clear" w:color="auto" w:fill="FFFFFF"/>
                <w:lang w:val="en-US"/>
              </w:rPr>
              <w:t>ontinual improvement activities are implemented to enhance EMS effectiveness. CAPA records, performance analysis, and improvement action plans were reviewed as evidence of systematic enhancements.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1710FC"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Seen: CAPA logs, improvement action plans, KPI tracking sheets, process performance reports, management review records.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DC7" w:rsidRDefault="00906DC7" w:rsidP="00663EED">
      <w:pPr>
        <w:spacing w:after="0" w:line="240" w:lineRule="auto"/>
      </w:pPr>
      <w:r>
        <w:separator/>
      </w:r>
    </w:p>
  </w:endnote>
  <w:endnote w:type="continuationSeparator" w:id="0">
    <w:p w:rsidR="00906DC7" w:rsidRDefault="00906DC7"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DC7" w:rsidRDefault="00906DC7" w:rsidP="00663EED">
      <w:pPr>
        <w:spacing w:after="0" w:line="240" w:lineRule="auto"/>
      </w:pPr>
      <w:r>
        <w:separator/>
      </w:r>
    </w:p>
  </w:footnote>
  <w:footnote w:type="continuationSeparator" w:id="0">
    <w:p w:rsidR="00906DC7" w:rsidRDefault="00906DC7"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AEA" w:rsidRDefault="00DE07FE" w:rsidP="00663EE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3360" behindDoc="0" locked="0" layoutInCell="1" allowOverlap="1" wp14:anchorId="0A29E668" wp14:editId="0478E0DA">
              <wp:simplePos x="0" y="0"/>
              <wp:positionH relativeFrom="column">
                <wp:posOffset>-723900</wp:posOffset>
              </wp:positionH>
              <wp:positionV relativeFrom="paragraph">
                <wp:posOffset>-105410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DE07FE" w:rsidRPr="00F426D9" w:rsidRDefault="00DE07FE" w:rsidP="00DE07FE">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9E668" id="Rectangle 3" o:spid="_x0000_s1026" style="position:absolute;left:0;text-align:left;margin-left:-57pt;margin-top:-8.3pt;width:23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">
              <v:textbox>
                <w:txbxContent>
                  <w:p w:rsidR="00DE07FE" w:rsidRPr="00F426D9" w:rsidRDefault="00DE07FE" w:rsidP="00DE07FE">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v:textbox>
            </v:rect>
          </w:pict>
        </mc:Fallback>
      </mc:AlternateContent>
    </w:r>
    <w:r w:rsidR="00552AEA">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52AEA">
      <w:rPr>
        <w:rFonts w:ascii="Times New Roman" w:hAnsi="Times New Roman"/>
        <w:b/>
        <w:sz w:val="28"/>
      </w:rPr>
      <w:t xml:space="preserve">       </w:t>
    </w:r>
    <w:r w:rsidR="00552AEA" w:rsidRPr="00E9175A">
      <w:rPr>
        <w:rFonts w:ascii="Times New Roman" w:hAnsi="Times New Roman"/>
        <w:b/>
        <w:sz w:val="28"/>
      </w:rPr>
      <w:t>Aud</w:t>
    </w:r>
    <w:r w:rsidR="00552AEA">
      <w:rPr>
        <w:rFonts w:ascii="Times New Roman" w:hAnsi="Times New Roman"/>
        <w:b/>
        <w:sz w:val="28"/>
      </w:rPr>
      <w:t xml:space="preserve">it Check list                                                                    </w:t>
    </w:r>
  </w:p>
  <w:p w:rsidR="00552AEA" w:rsidRDefault="00552AEA" w:rsidP="00663EED">
    <w:pPr>
      <w:pStyle w:val="Header"/>
      <w:jc w:val="center"/>
      <w:rPr>
        <w:rFonts w:ascii="Times New Roman" w:hAnsi="Times New Roman"/>
      </w:rPr>
    </w:pPr>
    <w:r>
      <w:rPr>
        <w:rFonts w:ascii="Times New Roman" w:hAnsi="Times New Roman"/>
      </w:rPr>
      <w:t xml:space="preserve">         ISO 14001:2015</w:t>
    </w:r>
  </w:p>
  <w:p w:rsidR="00552AEA" w:rsidRDefault="00552AEA" w:rsidP="00663EED">
    <w:pPr>
      <w:pStyle w:val="Header"/>
      <w:jc w:val="center"/>
      <w:rPr>
        <w:rFonts w:ascii="Times New Roman" w:hAnsi="Times New Roman"/>
      </w:rPr>
    </w:pPr>
  </w:p>
  <w:p w:rsidR="00552AEA" w:rsidRPr="00845CD6" w:rsidRDefault="00552AEA" w:rsidP="00663EED">
    <w:pPr>
      <w:pStyle w:val="Header"/>
      <w:jc w:val="center"/>
      <w:rPr>
        <w:rFonts w:ascii="Times New Roman" w:hAnsi="Times New Roman"/>
      </w:rPr>
    </w:pPr>
  </w:p>
  <w:p w:rsidR="00552AEA" w:rsidRDefault="00552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37B35"/>
    <w:rsid w:val="0016410D"/>
    <w:rsid w:val="00170F69"/>
    <w:rsid w:val="001710FC"/>
    <w:rsid w:val="001860AC"/>
    <w:rsid w:val="001A59B2"/>
    <w:rsid w:val="001B7FDB"/>
    <w:rsid w:val="001D5296"/>
    <w:rsid w:val="0020755F"/>
    <w:rsid w:val="002256C3"/>
    <w:rsid w:val="0023563D"/>
    <w:rsid w:val="00297643"/>
    <w:rsid w:val="002C1257"/>
    <w:rsid w:val="002E2512"/>
    <w:rsid w:val="002F6120"/>
    <w:rsid w:val="00316B0F"/>
    <w:rsid w:val="003E0DF5"/>
    <w:rsid w:val="00402873"/>
    <w:rsid w:val="00436993"/>
    <w:rsid w:val="0049646F"/>
    <w:rsid w:val="00497154"/>
    <w:rsid w:val="004E2F96"/>
    <w:rsid w:val="00530E36"/>
    <w:rsid w:val="00541244"/>
    <w:rsid w:val="00552AEA"/>
    <w:rsid w:val="0056333D"/>
    <w:rsid w:val="00574736"/>
    <w:rsid w:val="00581489"/>
    <w:rsid w:val="005D3F61"/>
    <w:rsid w:val="005E4899"/>
    <w:rsid w:val="00606F7E"/>
    <w:rsid w:val="00615B31"/>
    <w:rsid w:val="00623C7C"/>
    <w:rsid w:val="006529AD"/>
    <w:rsid w:val="006571A2"/>
    <w:rsid w:val="00663EED"/>
    <w:rsid w:val="006A3B60"/>
    <w:rsid w:val="006B5FD4"/>
    <w:rsid w:val="0071591E"/>
    <w:rsid w:val="00792847"/>
    <w:rsid w:val="007E7602"/>
    <w:rsid w:val="0086019D"/>
    <w:rsid w:val="00883FF3"/>
    <w:rsid w:val="008843BA"/>
    <w:rsid w:val="008A55AE"/>
    <w:rsid w:val="008C6C42"/>
    <w:rsid w:val="008F0648"/>
    <w:rsid w:val="00906DC7"/>
    <w:rsid w:val="009370C5"/>
    <w:rsid w:val="00946DC6"/>
    <w:rsid w:val="00991073"/>
    <w:rsid w:val="009A1BDD"/>
    <w:rsid w:val="009C5B04"/>
    <w:rsid w:val="009D1D12"/>
    <w:rsid w:val="00A15B2B"/>
    <w:rsid w:val="00A81EC1"/>
    <w:rsid w:val="00AD143B"/>
    <w:rsid w:val="00AE1577"/>
    <w:rsid w:val="00AE2FB0"/>
    <w:rsid w:val="00B04340"/>
    <w:rsid w:val="00B635D1"/>
    <w:rsid w:val="00BA157C"/>
    <w:rsid w:val="00BC7A6C"/>
    <w:rsid w:val="00C15430"/>
    <w:rsid w:val="00C75D69"/>
    <w:rsid w:val="00CC17E9"/>
    <w:rsid w:val="00CE184D"/>
    <w:rsid w:val="00CF71D9"/>
    <w:rsid w:val="00D810E6"/>
    <w:rsid w:val="00D83BB5"/>
    <w:rsid w:val="00DA448D"/>
    <w:rsid w:val="00DE07FE"/>
    <w:rsid w:val="00E463DC"/>
    <w:rsid w:val="00E623F2"/>
    <w:rsid w:val="00E63825"/>
    <w:rsid w:val="00E71951"/>
    <w:rsid w:val="00E8771E"/>
    <w:rsid w:val="00EE4EDE"/>
    <w:rsid w:val="00F13212"/>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7D96"/>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430"/>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6A4BA-1D0A-42D5-B22D-00FB7184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6</cp:revision>
  <dcterms:created xsi:type="dcterms:W3CDTF">2025-09-25T10:50:00Z</dcterms:created>
  <dcterms:modified xsi:type="dcterms:W3CDTF">2025-10-24T08:35:00Z</dcterms:modified>
</cp:coreProperties>
</file>