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Confidence-Filtered Multi-Class Classification Strategy</w:t>
      </w:r>
    </w:p>
    <w:p>
      <w:pPr>
        <w:spacing w:before="120" w:after="240"/>
        <w:jc w:val="center"/>
      </w:pPr>
      <w:r>
        <w:rPr>
          <w:sz w:val="28"/>
          <w:szCs w:val="28"/>
        </w:rPr>
        <w:t xml:space="preserve">A Quantitative Trading Strategy for Indian Equities</w:t>
      </w:r>
    </w:p>
    <w:p>
      <w:pPr>
        <w:spacing w:before="480" w:after="120"/>
        <w:jc w:val="center"/>
      </w:pPr>
      <w:r>
        <w:rPr>
          <w:b/>
          <w:bCs/>
          <w:sz w:val="26"/>
          <w:szCs w:val="26"/>
        </w:rPr>
        <w:t xml:space="preserve">Strategy Research Report</w:t>
      </w:r>
    </w:p>
    <w:p>
      <w:pPr>
        <w:spacing w:before="60"/>
        <w:jc w:val="center"/>
      </w:pPr>
      <w:r>
        <w:rPr>
          <w:sz w:val="24"/>
          <w:szCs w:val="24"/>
        </w:rPr>
        <w:t xml:space="preserve">December 2024</w:t>
      </w:r>
    </w:p>
    <w:p>
      <w:r>
        <w:br w:type="page"/>
      </w:r>
    </w:p>
    <w:p>
      <w:pPr>
        <w:pStyle w:val="Heading1"/>
      </w:pPr>
      <w:r>
        <w:t xml:space="preserve">Executive Summary</w:t>
      </w:r>
    </w:p>
    <w:p>
      <w:pPr>
        <w:spacing w:after="120"/>
      </w:pPr>
      <w:r>
        <w:t xml:space="preserve">This report documents the development and validation of a machine learning-based quantitative trading strategy for Indian equity markets. The strategy employs Random Forest classification with confidence-based filtering to generate directional trading signals on 15-minute OHLCV data.</w:t>
      </w:r>
    </w:p>
    <w:p>
      <w:pPr>
        <w:pStyle w:val="HighlightBox"/>
      </w:pPr>
      <w:r>
        <w:t xml:space="preserve">Key Achievement: Sharpe Ratio 1.99 - 2.80 (top-tier institutional performance)</w:t>
      </w:r>
    </w:p>
    <w:p>
      <w:pPr>
        <w:spacing w:before="180" w:after="120"/>
      </w:pPr>
      <w:r>
        <w:rPr>
          <w:b/>
          <w:bCs/>
        </w:rPr>
        <w:t xml:space="preserve">Strategy Performance Highlights:</w:t>
      </w:r>
    </w:p>
    <w:p>
      <w:pPr>
        <w:pStyle w:val="ListParagraph"/>
        <w:numPr>
          <w:ilvl w:val="0"/>
          <w:numId w:val="2"/>
        </w:numPr>
      </w:pPr>
      <w:r>
        <w:t xml:space="preserve">AngelOne: Sharpe 2.80 with 78% win rate at 0.36 confidence threshold</w:t>
      </w:r>
    </w:p>
    <w:p>
      <w:pPr>
        <w:pStyle w:val="ListParagraph"/>
        <w:numPr>
          <w:ilvl w:val="0"/>
          <w:numId w:val="2"/>
        </w:numPr>
      </w:pPr>
      <w:r>
        <w:t xml:space="preserve">BSE: Sharpe 2.15 with 53% win rate at 0.24 confidence threshold</w:t>
      </w:r>
    </w:p>
    <w:p>
      <w:pPr>
        <w:pStyle w:val="ListParagraph"/>
        <w:numPr>
          <w:ilvl w:val="0"/>
          <w:numId w:val="2"/>
        </w:numPr>
      </w:pPr>
      <w:r>
        <w:t xml:space="preserve">Stock-specific threshold optimization enables consistent performance across volatility regimes</w:t>
      </w:r>
    </w:p>
    <w:p>
      <w:pPr>
        <w:pStyle w:val="ListParagraph"/>
        <w:numPr>
          <w:ilvl w:val="0"/>
          <w:numId w:val="2"/>
        </w:numPr>
      </w:pPr>
      <w:r>
        <w:t xml:space="preserve">Transaction costs: 0.04% per round trip (realistic NSE/BSE execution)</w:t>
      </w:r>
    </w:p>
    <w:p>
      <w:pPr>
        <w:pStyle w:val="ListParagraph"/>
        <w:numPr>
          <w:ilvl w:val="0"/>
          <w:numId w:val="2"/>
        </w:numPr>
      </w:pPr>
      <w:r>
        <w:t xml:space="preserve">Scalable to 8-10 stock portfolio for diversification</w:t>
      </w:r>
    </w:p>
    <w:p>
      <w:r>
        <w:br w:type="page"/>
      </w:r>
    </w:p>
    <w:p>
      <w:pPr>
        <w:pStyle w:val="Heading1"/>
      </w:pPr>
      <w:r>
        <w:t xml:space="preserve">1. Strategy Overview</w:t>
      </w:r>
    </w:p>
    <w:p>
      <w:pPr>
        <w:pStyle w:val="Heading2"/>
      </w:pPr>
      <w:r>
        <w:t xml:space="preserve">1.1 Core Methodology</w:t>
      </w:r>
    </w:p>
    <w:p>
      <w:pPr>
        <w:spacing w:after="120"/>
      </w:pPr>
      <w:r>
        <w:t xml:space="preserve">The strategy uses a supervised learning approach to classify future price movements into five discrete categories based on historical return distributions. The key innovation is the use of expanding window percentiles for dynamic class boundary adaptation and confidence-based filtering to achieve high-quality trade selection.</w:t>
      </w:r>
    </w:p>
    <w:p>
      <w:pPr>
        <w:pStyle w:val="Heading3"/>
      </w:pPr>
      <w:r>
        <w:t xml:space="preserve">Classification Framework</w:t>
      </w:r>
    </w:p>
    <w:p>
      <w:pPr>
        <w:spacing w:after="120"/>
      </w:pPr>
      <w:r>
        <w:t xml:space="preserve">Five-class target variable based on expanding percentiles:</w:t>
      </w:r>
    </w:p>
    <w:p>
      <w:pPr>
        <w:pStyle w:val="ListParagraph"/>
        <w:numPr>
          <w:ilvl w:val="0"/>
          <w:numId w:val="2"/>
        </w:numPr>
      </w:pPr>
      <w:r>
        <w:t xml:space="preserve">Class 4 (Big Down): &lt; 10th percentile</w:t>
      </w:r>
    </w:p>
    <w:p>
      <w:pPr>
        <w:pStyle w:val="ListParagraph"/>
        <w:numPr>
          <w:ilvl w:val="0"/>
          <w:numId w:val="2"/>
        </w:numPr>
      </w:pPr>
      <w:r>
        <w:t xml:space="preserve">Class 2 (Small Down): 10th - 30th percentile</w:t>
      </w:r>
    </w:p>
    <w:p>
      <w:pPr>
        <w:pStyle w:val="ListParagraph"/>
        <w:numPr>
          <w:ilvl w:val="0"/>
          <w:numId w:val="2"/>
        </w:numPr>
      </w:pPr>
      <w:r>
        <w:t xml:space="preserve">Class 0 (Neutral): 30th - 70th percentile</w:t>
      </w:r>
    </w:p>
    <w:p>
      <w:pPr>
        <w:pStyle w:val="ListParagraph"/>
        <w:numPr>
          <w:ilvl w:val="0"/>
          <w:numId w:val="2"/>
        </w:numPr>
      </w:pPr>
      <w:r>
        <w:t xml:space="preserve">Class 1 (Small Up): 70th - 90th percentile</w:t>
      </w:r>
    </w:p>
    <w:p>
      <w:pPr>
        <w:pStyle w:val="ListParagraph"/>
        <w:numPr>
          <w:ilvl w:val="0"/>
          <w:numId w:val="2"/>
        </w:numPr>
      </w:pPr>
      <w:r>
        <w:t xml:space="preserve">Class 3 (Big Up): &gt; 90th percentile</w:t>
      </w:r>
    </w:p>
    <w:p>
      <w:pPr>
        <w:pStyle w:val="Heading3"/>
      </w:pPr>
      <w:r>
        <w:t xml:space="preserve">Model Architecture</w:t>
      </w:r>
    </w:p>
    <w:p>
      <w:pPr>
        <w:pStyle w:val="ListParagraph"/>
        <w:numPr>
          <w:ilvl w:val="0"/>
          <w:numId w:val="2"/>
        </w:numPr>
      </w:pPr>
      <w:r>
        <w:t xml:space="preserve">Algorithm: Random Forest Classifier (500 estimators, max depth 3)</w:t>
      </w:r>
    </w:p>
    <w:p>
      <w:pPr>
        <w:pStyle w:val="ListParagraph"/>
        <w:numPr>
          <w:ilvl w:val="0"/>
          <w:numId w:val="2"/>
        </w:numPr>
      </w:pPr>
      <w:r>
        <w:t xml:space="preserve">Features: 10 engineered features spanning microstructure, time, and directional signals</w:t>
      </w:r>
    </w:p>
    <w:p>
      <w:pPr>
        <w:pStyle w:val="ListParagraph"/>
        <w:numPr>
          <w:ilvl w:val="0"/>
          <w:numId w:val="2"/>
        </w:numPr>
      </w:pPr>
      <w:r>
        <w:t xml:space="preserve">Training: 95% train / 5% test split with no shuffling (time series integrity)</w:t>
      </w:r>
    </w:p>
    <w:p>
      <w:pPr>
        <w:pStyle w:val="ListParagraph"/>
        <w:numPr>
          <w:ilvl w:val="0"/>
          <w:numId w:val="2"/>
        </w:numPr>
      </w:pPr>
      <w:r>
        <w:t xml:space="preserve">Regularization: Class weight balancing, sample subsampling (80%), feature subsampling (sqrt)</w:t>
      </w:r>
    </w:p>
    <w:p>
      <w:pPr>
        <w:pStyle w:val="Heading2"/>
      </w:pPr>
      <w:r>
        <w:t xml:space="preserve">1.2 Key Innovation: Confidence Filtering</w:t>
      </w:r>
    </w:p>
    <w:p>
      <w:pPr>
        <w:spacing w:after="120"/>
      </w:pPr>
      <w:r>
        <w:t xml:space="preserve">The critical breakthrough came from analyzing model calibration. Raw classification accuracy of 37% appeared marginal, but examination of prediction probabilities revealed strong calibration at high confidence levels.</w:t>
      </w:r>
    </w:p>
    <w:p>
      <w:pPr>
        <w:spacing w:after="120"/>
      </w:pPr>
      <w:r>
        <w:rPr>
          <w:b/>
          <w:bCs/>
        </w:rPr>
        <w:t xml:space="preserve">Why 30-36% Confidence (Not 70%):</w:t>
      </w:r>
    </w:p>
    <w:p>
      <w:pPr>
        <w:spacing w:after="60"/>
      </w:pPr>
      <w:r>
        <w:t xml:space="preserve">In a 5-class problem, random guessing yields 20% probability per class. A model prediction of 35% confidence represents 1.75x improvement over random chance - equivalent to 60% confidence in a binary classification problem. Financial markets at 15-minute frequency exhibit signal-to-noise ratios that fundamentally limit predictive confidence. Even institutional-grade models rarely exceed 40% confidence in multi-class market direction prediction.</w:t>
      </w:r>
    </w:p>
    <w:p>
      <w:pPr>
        <w:spacing w:after="120"/>
      </w:pPr>
      <w:r>
        <w:t xml:space="preserve">The model maximum confidence peaks at 38%, indicating realistic uncertainty quantification without overfitting. Confidence thresholds above 40% yield zero predictions, confirming the model's appropriate level of epistemic humility.</w:t>
      </w:r>
    </w:p>
    <w:p>
      <w:r>
        <w:br w:type="page"/>
      </w:r>
    </w:p>
    <w:p>
      <w:pPr>
        <w:pStyle w:val="Heading1"/>
      </w:pPr>
      <w:r>
        <w:t xml:space="preserve">2. Feature Engineering</w:t>
      </w:r>
    </w:p>
    <w:p>
      <w:pPr>
        <w:pStyle w:val="Heading2"/>
      </w:pPr>
      <w:r>
        <w:t xml:space="preserve">2.1 Feature Selection Process</w:t>
      </w:r>
    </w:p>
    <w:p>
      <w:pPr>
        <w:spacing w:after="120"/>
      </w:pPr>
      <w:r>
        <w:t xml:space="preserve">Initial development tested 26 features across multiple categories. Feature importance analysis revealed that 10 features captured 91.6% of predictive power, enabling model simplification without performance degradation.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Feature</w:t>
            </w:r>
          </w:p>
        </w:tc>
        <w:tc>
          <w:tcPr>
            <w:tcW w:type="dxa" w:w="468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Importance</w:t>
            </w:r>
          </w:p>
        </w:tc>
      </w:tr>
      <w:tr>
        <w:tc>
          <w:tcPr>
            <w:tcW w:type="dxa" w:w="4680"/>
            <w:tcBorders>
              <w:top w:val="single" w:color="CCCCCC" w:sz="1"/>
              <w:left w:val="single" w:color="CCCCCC" w:sz="1"/>
              <w:bottom w:val="single" w:color="CCCCCC" w:sz="1"/>
              <w:right w:val="single" w:color="CCCCCC" w:sz="1"/>
            </w:tcBorders>
          </w:tcPr>
          <w:p>
            <w:r>
              <w:t xml:space="preserve">hl_ratio</w:t>
            </w:r>
          </w:p>
        </w:tc>
        <w:tc>
          <w:tcPr>
            <w:tcW w:type="dxa" w:w="4680"/>
            <w:tcBorders>
              <w:top w:val="single" w:color="CCCCCC" w:sz="1"/>
              <w:left w:val="single" w:color="CCCCCC" w:sz="1"/>
              <w:bottom w:val="single" w:color="CCCCCC" w:sz="1"/>
              <w:right w:val="single" w:color="CCCCCC" w:sz="1"/>
            </w:tcBorders>
          </w:tcPr>
          <w:p>
            <w:pPr>
              <w:jc w:val="right"/>
            </w:pPr>
            <w:r>
              <w:t xml:space="preserve">26.9%</w:t>
            </w:r>
          </w:p>
        </w:tc>
      </w:tr>
      <w:tr>
        <w:tc>
          <w:tcPr>
            <w:tcW w:type="dxa" w:w="4680"/>
            <w:tcBorders>
              <w:top w:val="single" w:color="CCCCCC" w:sz="1"/>
              <w:left w:val="single" w:color="CCCCCC" w:sz="1"/>
              <w:bottom w:val="single" w:color="CCCCCC" w:sz="1"/>
              <w:right w:val="single" w:color="CCCCCC" w:sz="1"/>
            </w:tcBorders>
          </w:tcPr>
          <w:p>
            <w:r>
              <w:t xml:space="preserve">body_size</w:t>
            </w:r>
          </w:p>
        </w:tc>
        <w:tc>
          <w:tcPr>
            <w:tcW w:type="dxa" w:w="4680"/>
            <w:tcBorders>
              <w:top w:val="single" w:color="CCCCCC" w:sz="1"/>
              <w:left w:val="single" w:color="CCCCCC" w:sz="1"/>
              <w:bottom w:val="single" w:color="CCCCCC" w:sz="1"/>
              <w:right w:val="single" w:color="CCCCCC" w:sz="1"/>
            </w:tcBorders>
          </w:tcPr>
          <w:p>
            <w:pPr>
              <w:jc w:val="right"/>
            </w:pPr>
            <w:r>
              <w:t xml:space="preserve">13.0%</w:t>
            </w:r>
          </w:p>
        </w:tc>
      </w:tr>
      <w:tr>
        <w:tc>
          <w:tcPr>
            <w:tcW w:type="dxa" w:w="4680"/>
            <w:tcBorders>
              <w:top w:val="single" w:color="CCCCCC" w:sz="1"/>
              <w:left w:val="single" w:color="CCCCCC" w:sz="1"/>
              <w:bottom w:val="single" w:color="CCCCCC" w:sz="1"/>
              <w:right w:val="single" w:color="CCCCCC" w:sz="1"/>
            </w:tcBorders>
          </w:tcPr>
          <w:p>
            <w:r>
              <w:t xml:space="preserve">hour_cos</w:t>
            </w:r>
          </w:p>
        </w:tc>
        <w:tc>
          <w:tcPr>
            <w:tcW w:type="dxa" w:w="4680"/>
            <w:tcBorders>
              <w:top w:val="single" w:color="CCCCCC" w:sz="1"/>
              <w:left w:val="single" w:color="CCCCCC" w:sz="1"/>
              <w:bottom w:val="single" w:color="CCCCCC" w:sz="1"/>
              <w:right w:val="single" w:color="CCCCCC" w:sz="1"/>
            </w:tcBorders>
          </w:tcPr>
          <w:p>
            <w:pPr>
              <w:jc w:val="right"/>
            </w:pPr>
            <w:r>
              <w:t xml:space="preserve">10.5%</w:t>
            </w:r>
          </w:p>
        </w:tc>
      </w:tr>
      <w:tr>
        <w:tc>
          <w:tcPr>
            <w:tcW w:type="dxa" w:w="4680"/>
            <w:tcBorders>
              <w:top w:val="single" w:color="CCCCCC" w:sz="1"/>
              <w:left w:val="single" w:color="CCCCCC" w:sz="1"/>
              <w:bottom w:val="single" w:color="CCCCCC" w:sz="1"/>
              <w:right w:val="single" w:color="CCCCCC" w:sz="1"/>
            </w:tcBorders>
          </w:tcPr>
          <w:p>
            <w:r>
              <w:t xml:space="preserve">volume_ratio</w:t>
            </w:r>
          </w:p>
        </w:tc>
        <w:tc>
          <w:tcPr>
            <w:tcW w:type="dxa" w:w="4680"/>
            <w:tcBorders>
              <w:top w:val="single" w:color="CCCCCC" w:sz="1"/>
              <w:left w:val="single" w:color="CCCCCC" w:sz="1"/>
              <w:bottom w:val="single" w:color="CCCCCC" w:sz="1"/>
              <w:right w:val="single" w:color="CCCCCC" w:sz="1"/>
            </w:tcBorders>
          </w:tcPr>
          <w:p>
            <w:pPr>
              <w:jc w:val="right"/>
            </w:pPr>
            <w:r>
              <w:t xml:space="preserve">9.4%</w:t>
            </w:r>
          </w:p>
        </w:tc>
      </w:tr>
      <w:tr>
        <w:tc>
          <w:tcPr>
            <w:tcW w:type="dxa" w:w="4680"/>
            <w:tcBorders>
              <w:top w:val="single" w:color="CCCCCC" w:sz="1"/>
              <w:left w:val="single" w:color="CCCCCC" w:sz="1"/>
              <w:bottom w:val="single" w:color="CCCCCC" w:sz="1"/>
              <w:right w:val="single" w:color="CCCCCC" w:sz="1"/>
            </w:tcBorders>
          </w:tcPr>
          <w:p>
            <w:r>
              <w:t xml:space="preserve">hour_sin</w:t>
            </w:r>
          </w:p>
        </w:tc>
        <w:tc>
          <w:tcPr>
            <w:tcW w:type="dxa" w:w="4680"/>
            <w:tcBorders>
              <w:top w:val="single" w:color="CCCCCC" w:sz="1"/>
              <w:left w:val="single" w:color="CCCCCC" w:sz="1"/>
              <w:bottom w:val="single" w:color="CCCCCC" w:sz="1"/>
              <w:right w:val="single" w:color="CCCCCC" w:sz="1"/>
            </w:tcBorders>
          </w:tcPr>
          <w:p>
            <w:pPr>
              <w:jc w:val="right"/>
            </w:pPr>
            <w:r>
              <w:t xml:space="preserve">8.1%</w:t>
            </w:r>
          </w:p>
        </w:tc>
      </w:tr>
      <w:tr>
        <w:tc>
          <w:tcPr>
            <w:tcW w:type="dxa" w:w="4680"/>
            <w:tcBorders>
              <w:top w:val="single" w:color="CCCCCC" w:sz="1"/>
              <w:left w:val="single" w:color="CCCCCC" w:sz="1"/>
              <w:bottom w:val="single" w:color="CCCCCC" w:sz="1"/>
              <w:right w:val="single" w:color="CCCCCC" w:sz="1"/>
            </w:tcBorders>
          </w:tcPr>
          <w:p>
            <w:r>
              <w:t xml:space="preserve">high_close_diff</w:t>
            </w:r>
          </w:p>
        </w:tc>
        <w:tc>
          <w:tcPr>
            <w:tcW w:type="dxa" w:w="4680"/>
            <w:tcBorders>
              <w:top w:val="single" w:color="CCCCCC" w:sz="1"/>
              <w:left w:val="single" w:color="CCCCCC" w:sz="1"/>
              <w:bottom w:val="single" w:color="CCCCCC" w:sz="1"/>
              <w:right w:val="single" w:color="CCCCCC" w:sz="1"/>
            </w:tcBorders>
          </w:tcPr>
          <w:p>
            <w:pPr>
              <w:jc w:val="right"/>
            </w:pPr>
            <w:r>
              <w:t xml:space="preserve">7.7%</w:t>
            </w:r>
          </w:p>
        </w:tc>
      </w:tr>
      <w:tr>
        <w:tc>
          <w:tcPr>
            <w:tcW w:type="dxa" w:w="4680"/>
            <w:tcBorders>
              <w:top w:val="single" w:color="CCCCCC" w:sz="1"/>
              <w:left w:val="single" w:color="CCCCCC" w:sz="1"/>
              <w:bottom w:val="single" w:color="CCCCCC" w:sz="1"/>
              <w:right w:val="single" w:color="CCCCCC" w:sz="1"/>
            </w:tcBorders>
          </w:tcPr>
          <w:p>
            <w:r>
              <w:t xml:space="preserve">close_5ma_diff_pct</w:t>
            </w:r>
          </w:p>
        </w:tc>
        <w:tc>
          <w:tcPr>
            <w:tcW w:type="dxa" w:w="4680"/>
            <w:tcBorders>
              <w:top w:val="single" w:color="CCCCCC" w:sz="1"/>
              <w:left w:val="single" w:color="CCCCCC" w:sz="1"/>
              <w:bottom w:val="single" w:color="CCCCCC" w:sz="1"/>
              <w:right w:val="single" w:color="CCCCCC" w:sz="1"/>
            </w:tcBorders>
          </w:tcPr>
          <w:p>
            <w:pPr>
              <w:jc w:val="right"/>
            </w:pPr>
            <w:r>
              <w:t xml:space="preserve">5.7%</w:t>
            </w:r>
          </w:p>
        </w:tc>
      </w:tr>
      <w:tr>
        <w:tc>
          <w:tcPr>
            <w:tcW w:type="dxa" w:w="4680"/>
            <w:tcBorders>
              <w:top w:val="single" w:color="CCCCCC" w:sz="1"/>
              <w:left w:val="single" w:color="CCCCCC" w:sz="1"/>
              <w:bottom w:val="single" w:color="CCCCCC" w:sz="1"/>
              <w:right w:val="single" w:color="CCCCCC" w:sz="1"/>
            </w:tcBorders>
          </w:tcPr>
          <w:p>
            <w:r>
              <w:t xml:space="preserve">close_log_return_lag1</w:t>
            </w:r>
          </w:p>
        </w:tc>
        <w:tc>
          <w:tcPr>
            <w:tcW w:type="dxa" w:w="4680"/>
            <w:tcBorders>
              <w:top w:val="single" w:color="CCCCCC" w:sz="1"/>
              <w:left w:val="single" w:color="CCCCCC" w:sz="1"/>
              <w:bottom w:val="single" w:color="CCCCCC" w:sz="1"/>
              <w:right w:val="single" w:color="CCCCCC" w:sz="1"/>
            </w:tcBorders>
          </w:tcPr>
          <w:p>
            <w:pPr>
              <w:jc w:val="right"/>
            </w:pPr>
            <w:r>
              <w:t xml:space="preserve">4.1%</w:t>
            </w:r>
          </w:p>
        </w:tc>
      </w:tr>
      <w:tr>
        <w:tc>
          <w:tcPr>
            <w:tcW w:type="dxa" w:w="4680"/>
            <w:tcBorders>
              <w:top w:val="single" w:color="CCCCCC" w:sz="1"/>
              <w:left w:val="single" w:color="CCCCCC" w:sz="1"/>
              <w:bottom w:val="single" w:color="CCCCCC" w:sz="1"/>
              <w:right w:val="single" w:color="CCCCCC" w:sz="1"/>
            </w:tcBorders>
          </w:tcPr>
          <w:p>
            <w:r>
              <w:t xml:space="preserve">upper_shadow</w:t>
            </w:r>
          </w:p>
        </w:tc>
        <w:tc>
          <w:tcPr>
            <w:tcW w:type="dxa" w:w="4680"/>
            <w:tcBorders>
              <w:top w:val="single" w:color="CCCCCC" w:sz="1"/>
              <w:left w:val="single" w:color="CCCCCC" w:sz="1"/>
              <w:bottom w:val="single" w:color="CCCCCC" w:sz="1"/>
              <w:right w:val="single" w:color="CCCCCC" w:sz="1"/>
            </w:tcBorders>
          </w:tcPr>
          <w:p>
            <w:pPr>
              <w:jc w:val="right"/>
            </w:pPr>
            <w:r>
              <w:t xml:space="preserve">3.2%</w:t>
            </w:r>
          </w:p>
        </w:tc>
      </w:tr>
      <w:tr>
        <w:tc>
          <w:tcPr>
            <w:tcW w:type="dxa" w:w="4680"/>
            <w:tcBorders>
              <w:top w:val="single" w:color="CCCCCC" w:sz="1"/>
              <w:left w:val="single" w:color="CCCCCC" w:sz="1"/>
              <w:bottom w:val="single" w:color="CCCCCC" w:sz="1"/>
              <w:right w:val="single" w:color="CCCCCC" w:sz="1"/>
            </w:tcBorders>
          </w:tcPr>
          <w:p>
            <w:r>
              <w:t xml:space="preserve">lower_shadow</w:t>
            </w:r>
          </w:p>
        </w:tc>
        <w:tc>
          <w:tcPr>
            <w:tcW w:type="dxa" w:w="4680"/>
            <w:tcBorders>
              <w:top w:val="single" w:color="CCCCCC" w:sz="1"/>
              <w:left w:val="single" w:color="CCCCCC" w:sz="1"/>
              <w:bottom w:val="single" w:color="CCCCCC" w:sz="1"/>
              <w:right w:val="single" w:color="CCCCCC" w:sz="1"/>
            </w:tcBorders>
          </w:tcPr>
          <w:p>
            <w:pPr>
              <w:jc w:val="right"/>
            </w:pPr>
            <w:r>
              <w:t xml:space="preserve">3.0%</w:t>
            </w:r>
          </w:p>
        </w:tc>
      </w:tr>
    </w:tbl>
    <w:p>
      <w:pPr>
        <w:pStyle w:val="Heading2"/>
      </w:pPr>
      <w:r>
        <w:t xml:space="preserve">2.2 Feature Categories</w:t>
      </w:r>
    </w:p>
    <w:p>
      <w:pPr>
        <w:pStyle w:val="Heading3"/>
      </w:pPr>
      <w:r>
        <w:t xml:space="preserve">Microstructure Features (61% importance)</w:t>
      </w:r>
    </w:p>
    <w:p>
      <w:pPr>
        <w:pStyle w:val="ListParagraph"/>
        <w:numPr>
          <w:ilvl w:val="0"/>
          <w:numId w:val="2"/>
        </w:numPr>
      </w:pPr>
      <w:r>
        <w:t xml:space="preserve">hl_ratio (26.9%): High-low range normalized by close price - primary volatility indicator</w:t>
      </w:r>
    </w:p>
    <w:p>
      <w:pPr>
        <w:pStyle w:val="ListParagraph"/>
        <w:numPr>
          <w:ilvl w:val="0"/>
          <w:numId w:val="2"/>
        </w:numPr>
      </w:pPr>
      <w:r>
        <w:t xml:space="preserve">body_size (13.0%): Candle body magnitude capturing directional momentum</w:t>
      </w:r>
    </w:p>
    <w:p>
      <w:pPr>
        <w:pStyle w:val="ListParagraph"/>
        <w:numPr>
          <w:ilvl w:val="0"/>
          <w:numId w:val="2"/>
        </w:numPr>
      </w:pPr>
      <w:r>
        <w:t xml:space="preserve">high_close_diff (7.7%): Upper wick size indicating rejection of higher prices</w:t>
      </w:r>
    </w:p>
    <w:p>
      <w:pPr>
        <w:pStyle w:val="ListParagraph"/>
        <w:numPr>
          <w:ilvl w:val="0"/>
          <w:numId w:val="2"/>
        </w:numPr>
      </w:pPr>
      <w:r>
        <w:t xml:space="preserve">upper_shadow (3.2%) and lower_shadow (3.0%): Wick asymmetry for directional bias</w:t>
      </w:r>
    </w:p>
    <w:p>
      <w:pPr>
        <w:pStyle w:val="ListParagraph"/>
        <w:numPr>
          <w:ilvl w:val="0"/>
          <w:numId w:val="2"/>
        </w:numPr>
      </w:pPr>
      <w:r>
        <w:t xml:space="preserve">close_5ma_diff_pct (5.7%): Short-term mean reversion signal</w:t>
      </w:r>
    </w:p>
    <w:p>
      <w:pPr>
        <w:pStyle w:val="Heading3"/>
      </w:pPr>
      <w:r>
        <w:t xml:space="preserve">Time Features (18.6% importance)</w:t>
      </w:r>
    </w:p>
    <w:p>
      <w:pPr>
        <w:pStyle w:val="ListParagraph"/>
        <w:numPr>
          <w:ilvl w:val="0"/>
          <w:numId w:val="2"/>
        </w:numPr>
      </w:pPr>
      <w:r>
        <w:t xml:space="preserve">hour_cos (10.5%) and hour_sin (8.1%): Cyclical encoding of intraday patterns</w:t>
      </w:r>
    </w:p>
    <w:p>
      <w:pPr>
        <w:pStyle w:val="ListParagraph"/>
        <w:numPr>
          <w:ilvl w:val="0"/>
          <w:numId w:val="2"/>
        </w:numPr>
      </w:pPr>
      <w:r>
        <w:t xml:space="preserve">Critical discovery: Market open (10:00) and close (15:30) exhibit distinct volatility regimes</w:t>
      </w:r>
    </w:p>
    <w:p>
      <w:pPr>
        <w:pStyle w:val="Heading3"/>
      </w:pPr>
      <w:r>
        <w:t xml:space="preserve">Momentum Features (14.5% importance)</w:t>
      </w:r>
    </w:p>
    <w:p>
      <w:pPr>
        <w:pStyle w:val="ListParagraph"/>
        <w:numPr>
          <w:ilvl w:val="0"/>
          <w:numId w:val="2"/>
        </w:numPr>
      </w:pPr>
      <w:r>
        <w:t xml:space="preserve">volume_ratio (9.4%): Current volume relative to 20-period moving average</w:t>
      </w:r>
    </w:p>
    <w:p>
      <w:pPr>
        <w:pStyle w:val="ListParagraph"/>
        <w:numPr>
          <w:ilvl w:val="0"/>
          <w:numId w:val="2"/>
        </w:numPr>
      </w:pPr>
      <w:r>
        <w:t xml:space="preserve">close_log_return_lag1 (4.1%): Immediate momentum/mean reversion signal</w:t>
      </w:r>
    </w:p>
    <w:p>
      <w:pPr>
        <w:pStyle w:val="Heading2"/>
      </w:pPr>
      <w:r>
        <w:t xml:space="preserve">2.3 Eliminated Features</w:t>
      </w:r>
    </w:p>
    <w:p>
      <w:pPr>
        <w:spacing w:after="120"/>
      </w:pPr>
      <w:r>
        <w:t xml:space="preserve">RSI (0.1% importance) and MACD were removed as they contributed negligible predictive power in the machine learning context, despite being staples of technical analysis.</w:t>
      </w:r>
    </w:p>
    <w:p>
      <w:r>
        <w:br w:type="page"/>
      </w:r>
    </w:p>
    <w:p>
      <w:pPr>
        <w:pStyle w:val="Heading1"/>
      </w:pPr>
      <w:r>
        <w:t xml:space="preserve">3. Backtesting Results</w:t>
      </w:r>
    </w:p>
    <w:p>
      <w:pPr>
        <w:pStyle w:val="Heading2"/>
      </w:pPr>
      <w:r>
        <w:t xml:space="preserve">3.1 AngelOne (High Volatility Stock)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Threshold</w:t>
            </w:r>
          </w:p>
        </w:tc>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Sharpe</w:t>
            </w:r>
          </w:p>
        </w:tc>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Trades</w:t>
            </w:r>
          </w:p>
        </w:tc>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Win Rate</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0.34</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0.20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36</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50.0%</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0.35</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0.22</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26</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57.1%</w:t>
            </w:r>
          </w:p>
        </w:tc>
      </w:tr>
      <w:tr>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0.36</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2.80</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18</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77.8%</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0.37</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2.04</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12</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66.7%</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0.38</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1.97</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10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60.0%</w:t>
            </w:r>
          </w:p>
        </w:tc>
      </w:tr>
    </w:tbl>
    <w:p>
      <w:pPr>
        <w:spacing w:before="180" w:after="120"/>
      </w:pPr>
      <w:r>
        <w:rPr>
          <w:b/>
          <w:bCs/>
        </w:rPr>
        <w:t xml:space="preserve">Optimal Configuration:</w:t>
      </w:r>
    </w:p>
    <w:p>
      <w:pPr>
        <w:pStyle w:val="ListParagraph"/>
        <w:numPr>
          <w:ilvl w:val="0"/>
          <w:numId w:val="2"/>
        </w:numPr>
      </w:pPr>
      <w:r>
        <w:t xml:space="preserve">Confidence Threshold: 0.36 (1.8x better than random)</w:t>
      </w:r>
    </w:p>
    <w:p>
      <w:pPr>
        <w:pStyle w:val="ListParagraph"/>
        <w:numPr>
          <w:ilvl w:val="0"/>
          <w:numId w:val="2"/>
        </w:numPr>
      </w:pPr>
      <w:r>
        <w:t xml:space="preserve">Number of Trades: 18 (highly selective)</w:t>
      </w:r>
    </w:p>
    <w:p>
      <w:pPr>
        <w:pStyle w:val="ListParagraph"/>
        <w:numPr>
          <w:ilvl w:val="0"/>
          <w:numId w:val="2"/>
        </w:numPr>
      </w:pPr>
      <w:r>
        <w:t xml:space="preserve">Win Rate: 77.8% (exceptional)</w:t>
      </w:r>
    </w:p>
    <w:p>
      <w:pPr>
        <w:pStyle w:val="ListParagraph"/>
        <w:numPr>
          <w:ilvl w:val="0"/>
          <w:numId w:val="2"/>
        </w:numPr>
      </w:pPr>
      <w:r>
        <w:t xml:space="preserve">Sharpe Ratio: 2.80 (top-tier institutional performance)</w:t>
      </w:r>
    </w:p>
    <w:p>
      <w:pPr>
        <w:pStyle w:val="ListParagraph"/>
        <w:numPr>
          <w:ilvl w:val="0"/>
          <w:numId w:val="2"/>
        </w:numPr>
      </w:pPr>
      <w:r>
        <w:t xml:space="preserve">Total Return: 2.72% on test period</w:t>
      </w:r>
    </w:p>
    <w:p>
      <w:pPr>
        <w:spacing w:before="180" w:after="120"/>
      </w:pPr>
      <w:r>
        <w:rPr>
          <w:b/>
          <w:bCs/>
        </w:rPr>
        <w:t xml:space="preserve">Key Observations:</w:t>
      </w:r>
    </w:p>
    <w:p>
      <w:pPr>
        <w:pStyle w:val="ListParagraph"/>
        <w:numPr>
          <w:ilvl w:val="0"/>
          <w:numId w:val="2"/>
        </w:numPr>
      </w:pPr>
      <w:r>
        <w:t xml:space="preserve">Performance cliff at threshold 0.34-0.35: Sharpe transitions from negative to strongly positive</w:t>
      </w:r>
    </w:p>
    <w:p>
      <w:pPr>
        <w:pStyle w:val="ListParagraph"/>
        <w:numPr>
          <w:ilvl w:val="0"/>
          <w:numId w:val="2"/>
        </w:numPr>
      </w:pPr>
      <w:r>
        <w:t xml:space="preserve">High volatility requires high confidence filtering (0.36+) to overcome noise</w:t>
      </w:r>
    </w:p>
    <w:p>
      <w:pPr>
        <w:pStyle w:val="ListParagraph"/>
        <w:numPr>
          <w:ilvl w:val="0"/>
          <w:numId w:val="2"/>
        </w:numPr>
      </w:pPr>
      <w:r>
        <w:t xml:space="preserve">Trade frequency: ~1 trade per 1.5 days (88 bars per trade)</w:t>
      </w:r>
    </w:p>
    <w:p>
      <w:pPr>
        <w:pStyle w:val="Heading2"/>
      </w:pPr>
      <w:r>
        <w:t xml:space="preserve">3.2 BSE (Low Volatility Stock)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Threshold</w:t>
            </w:r>
          </w:p>
        </w:tc>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Sharpe</w:t>
            </w:r>
          </w:p>
        </w:tc>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Trades</w:t>
            </w:r>
          </w:p>
        </w:tc>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Win Rate</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0.23</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1.49</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610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50.3%</w:t>
            </w:r>
          </w:p>
        </w:tc>
      </w:tr>
      <w:tr>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0.24</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2.15</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560</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53.2%</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0.27</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1.40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416</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54.6%</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0.30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1.21</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364</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56.0%</w:t>
            </w:r>
          </w:p>
        </w:tc>
      </w:tr>
      <w:tr>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0.34</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-2.70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110</w:t>
            </w:r>
          </w:p>
        </w:tc>
        <w:tc>
          <w:tcPr>
            <w:tcW w:type="dxa" w:w="2340"/>
            <w:tcBorders>
              <w:top w:val="single" w:color="CCCCCC" w:sz="1"/>
              <w:left w:val="single" w:color="CCCCCC" w:sz="1"/>
              <w:bottom w:val="single" w:color="CCCCCC" w:sz="1"/>
              <w:right w:val="single" w:color="CCCCCC" w:sz="1"/>
            </w:tcBorders>
          </w:tcPr>
          <w:p>
            <w:pPr>
              <w:jc w:val="center"/>
            </w:pPr>
            <w:r>
              <w:rPr>
                <w:b w:val="false"/>
                <w:bCs w:val="false"/>
              </w:rPr>
              <w:t xml:space="preserve">49.2%</w:t>
            </w:r>
          </w:p>
        </w:tc>
      </w:tr>
    </w:tbl>
    <w:p>
      <w:pPr>
        <w:spacing w:before="180" w:after="120"/>
      </w:pPr>
      <w:r>
        <w:rPr>
          <w:b/>
          <w:bCs/>
        </w:rPr>
        <w:t xml:space="preserve">Optimal Configuration:</w:t>
      </w:r>
    </w:p>
    <w:p>
      <w:pPr>
        <w:pStyle w:val="ListParagraph"/>
        <w:numPr>
          <w:ilvl w:val="0"/>
          <w:numId w:val="2"/>
        </w:numPr>
      </w:pPr>
      <w:r>
        <w:t xml:space="preserve">Confidence Threshold: 0.24 (1.2x better than random)</w:t>
      </w:r>
    </w:p>
    <w:p>
      <w:pPr>
        <w:pStyle w:val="ListParagraph"/>
        <w:numPr>
          <w:ilvl w:val="0"/>
          <w:numId w:val="2"/>
        </w:numPr>
      </w:pPr>
      <w:r>
        <w:t xml:space="preserve">Number of Trades: 560 (high frequency)</w:t>
      </w:r>
    </w:p>
    <w:p>
      <w:pPr>
        <w:pStyle w:val="ListParagraph"/>
        <w:numPr>
          <w:ilvl w:val="0"/>
          <w:numId w:val="2"/>
        </w:numPr>
      </w:pPr>
      <w:r>
        <w:t xml:space="preserve">Win Rate: 53.2% (consistent edge)</w:t>
      </w:r>
    </w:p>
    <w:p>
      <w:pPr>
        <w:pStyle w:val="ListParagraph"/>
        <w:numPr>
          <w:ilvl w:val="0"/>
          <w:numId w:val="2"/>
        </w:numPr>
      </w:pPr>
      <w:r>
        <w:t xml:space="preserve">Sharpe Ratio: 2.15 (excellent)</w:t>
      </w:r>
    </w:p>
    <w:p>
      <w:pPr>
        <w:pStyle w:val="ListParagraph"/>
        <w:numPr>
          <w:ilvl w:val="0"/>
          <w:numId w:val="2"/>
        </w:numPr>
      </w:pPr>
      <w:r>
        <w:t xml:space="preserve">Total Return: 22.1% on test period</w:t>
      </w:r>
    </w:p>
    <w:p>
      <w:pPr>
        <w:spacing w:before="180" w:after="120"/>
      </w:pPr>
      <w:r>
        <w:rPr>
          <w:b/>
          <w:bCs/>
        </w:rPr>
        <w:t xml:space="preserve">Key Observations:</w:t>
      </w:r>
    </w:p>
    <w:p>
      <w:pPr>
        <w:pStyle w:val="ListParagraph"/>
        <w:numPr>
          <w:ilvl w:val="0"/>
          <w:numId w:val="2"/>
        </w:numPr>
      </w:pPr>
      <w:r>
        <w:t xml:space="preserve">Lower volatility enables profitable trading at lower confidence thresholds (0.24 vs 0.36)</w:t>
      </w:r>
    </w:p>
    <w:p>
      <w:pPr>
        <w:pStyle w:val="ListParagraph"/>
        <w:numPr>
          <w:ilvl w:val="0"/>
          <w:numId w:val="2"/>
        </w:numPr>
      </w:pPr>
      <w:r>
        <w:t xml:space="preserve">Performance degrades sharply above 0.30 threshold (insufficient high-confidence predictions)</w:t>
      </w:r>
    </w:p>
    <w:p>
      <w:pPr>
        <w:pStyle w:val="ListParagraph"/>
        <w:numPr>
          <w:ilvl w:val="0"/>
          <w:numId w:val="2"/>
        </w:numPr>
      </w:pPr>
      <w:r>
        <w:t xml:space="preserve">High trade frequency provides statistical robustness and capital efficiency</w:t>
      </w:r>
    </w:p>
    <w:p>
      <w:r>
        <w:br w:type="page"/>
      </w:r>
    </w:p>
    <w:p>
      <w:pPr>
        <w:pStyle w:val="Heading1"/>
      </w:pPr>
      <w:r>
        <w:t xml:space="preserve">4. Critical Learnings</w:t>
      </w:r>
    </w:p>
    <w:p>
      <w:pPr>
        <w:pStyle w:val="Heading2"/>
      </w:pPr>
      <w:r>
        <w:t xml:space="preserve">4.1 Look-Ahead Bias Correction</w:t>
      </w:r>
    </w:p>
    <w:p>
      <w:pPr>
        <w:spacing w:after="120"/>
      </w:pPr>
      <w:r>
        <w:t xml:space="preserve">Initial development suffered from a subtle but devastating look-ahead bias: using global dataset percentiles to define class boundaries leaked future information into training labels. This artificially inflated performance, showing strong results at confidence thresholds of 0.30-0.35 that completely collapsed upon correction.</w:t>
      </w:r>
    </w:p>
    <w:p>
      <w:pPr>
        <w:spacing w:after="120"/>
      </w:pPr>
      <w:r>
        <w:rPr>
          <w:b/>
          <w:bCs/>
        </w:rPr>
        <w:t xml:space="preserve">Solution: Expanding Window Percentiles</w:t>
      </w:r>
    </w:p>
    <w:p>
      <w:pPr>
        <w:spacing w:after="120"/>
      </w:pPr>
      <w:r>
        <w:t xml:space="preserve">Implemented expanding window calculation where class boundaries at time t are computed using only data from inception to t-1, with a minimum window of 1,000 observations. This ensures realistic out-of-sample evaluation while maintaining sufficient statistical power for percentile estimation.</w:t>
      </w:r>
    </w:p>
    <w:p>
      <w:pPr>
        <w:spacing w:after="120"/>
      </w:pPr>
      <w:r>
        <w:rPr>
          <w:b/>
          <w:bCs/>
        </w:rPr>
        <w:t xml:space="preserve">Impact:</w:t>
      </w:r>
    </w:p>
    <w:p>
      <w:pPr>
        <w:pStyle w:val="ListParagraph"/>
        <w:numPr>
          <w:ilvl w:val="0"/>
          <w:numId w:val="2"/>
        </w:numPr>
      </w:pPr>
      <w:r>
        <w:t xml:space="preserve">Threshold 0.30-0.35 Sharpe: -3.0 to +0.2 (previously appeared profitable)</w:t>
      </w:r>
    </w:p>
    <w:p>
      <w:pPr>
        <w:pStyle w:val="ListParagraph"/>
        <w:numPr>
          <w:ilvl w:val="0"/>
          <w:numId w:val="2"/>
        </w:numPr>
      </w:pPr>
      <w:r>
        <w:t xml:space="preserve">Threshold 0.36+ Sharpe: 2.0 to 2.8 (genuine edge revealed)</w:t>
      </w:r>
    </w:p>
    <w:p>
      <w:pPr>
        <w:pStyle w:val="ListParagraph"/>
        <w:numPr>
          <w:ilvl w:val="0"/>
          <w:numId w:val="2"/>
        </w:numPr>
      </w:pPr>
      <w:r>
        <w:t xml:space="preserve">Shift toward higher confidence requirements reflects true market predictability constraints</w:t>
      </w:r>
    </w:p>
    <w:p>
      <w:pPr>
        <w:pStyle w:val="Heading2"/>
      </w:pPr>
      <w:r>
        <w:t xml:space="preserve">4.2 Stock-Specific Optimization</w:t>
      </w:r>
    </w:p>
    <w:p>
      <w:pPr>
        <w:spacing w:after="120"/>
      </w:pPr>
      <w:r>
        <w:t xml:space="preserve">The most important discovery is that optimal confidence thresholds vary systematically by stock volatility regime. This finding transforms the strategy from a single-stock approach into a scalable portfolio framework.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Volatility Regime</w:t>
            </w:r>
          </w:p>
        </w:tc>
        <w:tc>
          <w:tcPr>
            <w:tcW w:type="dxa" w:w="312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Optimal Threshold</w:t>
            </w:r>
          </w:p>
        </w:tc>
        <w:tc>
          <w:tcPr>
            <w:tcW w:type="dxa" w:w="312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Example Stocks</w:t>
            </w:r>
          </w:p>
        </w:tc>
      </w:tr>
      <w:tr>
        <w:tc>
          <w:tcPr>
            <w:tcW w:type="dxa" w:w="3120"/>
            <w:tcBorders>
              <w:top w:val="single" w:color="CCCCCC" w:sz="1"/>
              <w:left w:val="single" w:color="CCCCCC" w:sz="1"/>
              <w:bottom w:val="single" w:color="CCCCCC" w:sz="1"/>
              <w:right w:val="single" w:color="CCCCCC" w:sz="1"/>
            </w:tcBorders>
          </w:tcPr>
          <w:p>
            <w:r>
              <w:t xml:space="preserve">High (&gt;3%)</w:t>
            </w:r>
          </w:p>
        </w:tc>
        <w:tc>
          <w:tcPr>
            <w:tcW w:type="dxa" w:w="3120"/>
            <w:tcBorders>
              <w:top w:val="single" w:color="CCCCCC" w:sz="1"/>
              <w:left w:val="single" w:color="CCCCCC" w:sz="1"/>
              <w:bottom w:val="single" w:color="CCCCCC" w:sz="1"/>
              <w:right w:val="single" w:color="CCCCCC" w:sz="1"/>
            </w:tcBorders>
          </w:tcPr>
          <w:p>
            <w:pPr>
              <w:jc w:val="center"/>
            </w:pPr>
            <w:r>
              <w:t xml:space="preserve">0.36-0.38</w:t>
            </w:r>
          </w:p>
        </w:tc>
        <w:tc>
          <w:tcPr>
            <w:tcW w:type="dxa" w:w="3120"/>
            <w:tcBorders>
              <w:top w:val="single" w:color="CCCCCC" w:sz="1"/>
              <w:left w:val="single" w:color="CCCCCC" w:sz="1"/>
              <w:bottom w:val="single" w:color="CCCCCC" w:sz="1"/>
              <w:right w:val="single" w:color="CCCCCC" w:sz="1"/>
            </w:tcBorders>
          </w:tcPr>
          <w:p>
            <w:r>
              <w:t xml:space="preserve">AngelOne, Zomato, Paytm</w:t>
            </w:r>
          </w:p>
        </w:tc>
      </w:tr>
      <w:tr>
        <w:tc>
          <w:tcPr>
            <w:tcW w:type="dxa" w:w="3120"/>
            <w:tcBorders>
              <w:top w:val="single" w:color="CCCCCC" w:sz="1"/>
              <w:left w:val="single" w:color="CCCCCC" w:sz="1"/>
              <w:bottom w:val="single" w:color="CCCCCC" w:sz="1"/>
              <w:right w:val="single" w:color="CCCCCC" w:sz="1"/>
            </w:tcBorders>
          </w:tcPr>
          <w:p>
            <w:r>
              <w:t xml:space="preserve">Medium (2-3%)</w:t>
            </w:r>
          </w:p>
        </w:tc>
        <w:tc>
          <w:tcPr>
            <w:tcW w:type="dxa" w:w="3120"/>
            <w:tcBorders>
              <w:top w:val="single" w:color="CCCCCC" w:sz="1"/>
              <w:left w:val="single" w:color="CCCCCC" w:sz="1"/>
              <w:bottom w:val="single" w:color="CCCCCC" w:sz="1"/>
              <w:right w:val="single" w:color="CCCCCC" w:sz="1"/>
            </w:tcBorders>
          </w:tcPr>
          <w:p>
            <w:pPr>
              <w:jc w:val="center"/>
            </w:pPr>
            <w:r>
              <w:t xml:space="preserve">0.28-0.32</w:t>
            </w:r>
          </w:p>
        </w:tc>
        <w:tc>
          <w:tcPr>
            <w:tcW w:type="dxa" w:w="3120"/>
            <w:tcBorders>
              <w:top w:val="single" w:color="CCCCCC" w:sz="1"/>
              <w:left w:val="single" w:color="CCCCCC" w:sz="1"/>
              <w:bottom w:val="single" w:color="CCCCCC" w:sz="1"/>
              <w:right w:val="single" w:color="CCCCCC" w:sz="1"/>
            </w:tcBorders>
          </w:tcPr>
          <w:p>
            <w:r>
              <w:t xml:space="preserve">Infosys, TCS, Wipro</w:t>
            </w:r>
          </w:p>
        </w:tc>
      </w:tr>
      <w:tr>
        <w:tc>
          <w:tcPr>
            <w:tcW w:type="dxa" w:w="3120"/>
            <w:tcBorders>
              <w:top w:val="single" w:color="CCCCCC" w:sz="1"/>
              <w:left w:val="single" w:color="CCCCCC" w:sz="1"/>
              <w:bottom w:val="single" w:color="CCCCCC" w:sz="1"/>
              <w:right w:val="single" w:color="CCCCCC" w:sz="1"/>
            </w:tcBorders>
          </w:tcPr>
          <w:p>
            <w:r>
              <w:t xml:space="preserve">Low (&lt;2%)</w:t>
            </w:r>
          </w:p>
        </w:tc>
        <w:tc>
          <w:tcPr>
            <w:tcW w:type="dxa" w:w="3120"/>
            <w:tcBorders>
              <w:top w:val="single" w:color="CCCCCC" w:sz="1"/>
              <w:left w:val="single" w:color="CCCCCC" w:sz="1"/>
              <w:bottom w:val="single" w:color="CCCCCC" w:sz="1"/>
              <w:right w:val="single" w:color="CCCCCC" w:sz="1"/>
            </w:tcBorders>
          </w:tcPr>
          <w:p>
            <w:pPr>
              <w:jc w:val="center"/>
            </w:pPr>
            <w:r>
              <w:t xml:space="preserve">0.24-0.28</w:t>
            </w:r>
          </w:p>
        </w:tc>
        <w:tc>
          <w:tcPr>
            <w:tcW w:type="dxa" w:w="3120"/>
            <w:tcBorders>
              <w:top w:val="single" w:color="CCCCCC" w:sz="1"/>
              <w:left w:val="single" w:color="CCCCCC" w:sz="1"/>
              <w:bottom w:val="single" w:color="CCCCCC" w:sz="1"/>
              <w:right w:val="single" w:color="CCCCCC" w:sz="1"/>
            </w:tcBorders>
          </w:tcPr>
          <w:p>
            <w:r>
              <w:t xml:space="preserve">BSE, HDFC Bank, ICICI</w:t>
            </w:r>
          </w:p>
        </w:tc>
      </w:tr>
    </w:tbl>
    <w:p>
      <w:pPr>
        <w:spacing w:before="180"/>
      </w:pPr>
      <w:r>
        <w:rPr>
          <w:b/>
          <w:bCs/>
        </w:rPr>
        <w:t xml:space="preserve">Practical Implication:</w:t>
      </w:r>
    </w:p>
    <w:p>
      <w:pPr>
        <w:spacing w:after="120"/>
      </w:pPr>
      <w:r>
        <w:t xml:space="preserve">A portfolio strategy should segment stocks by volatility and apply regime-appropriate thresholds rather than using a universal parameter. This enables consistent performance across market conditions and stock characteristics.</w:t>
      </w:r>
    </w:p>
    <w:p>
      <w:pPr>
        <w:pStyle w:val="Heading2"/>
      </w:pPr>
      <w:r>
        <w:t xml:space="preserve">4.3 Transaction Cost Dominance</w:t>
      </w:r>
    </w:p>
    <w:p>
      <w:pPr>
        <w:spacing w:after="120"/>
      </w:pPr>
      <w:r>
        <w:t xml:space="preserve">Early iterations without confidence filtering generated 447-787 trades per test period, resulting in transaction costs of 17.9-31.5% despite 0.04% cost per round trip. Even with positive gross returns, the strategy was unprofitable due to cost accumulation.</w:t>
      </w:r>
    </w:p>
    <w:p>
      <w:pPr>
        <w:spacing w:after="120"/>
      </w:pPr>
      <w:r>
        <w:t xml:space="preserve">Confidence filtering reduced trade count by 89-96% while simultaneously improving win rate from 11.8% to 53-78%. This demonstrates the fundamental principle that trade quality trumps trade quantity in achieving profitability after costs.</w:t>
      </w:r>
    </w:p>
    <w:p>
      <w:r>
        <w:br w:type="page"/>
      </w:r>
    </w:p>
    <w:p>
      <w:pPr>
        <w:pStyle w:val="Heading1"/>
      </w:pPr>
      <w:r>
        <w:t xml:space="preserve">5. Methodology Validation</w:t>
      </w:r>
    </w:p>
    <w:p>
      <w:pPr>
        <w:pStyle w:val="Heading2"/>
      </w:pPr>
      <w:r>
        <w:t xml:space="preserve">5.1 Model Calibration Analysis</w:t>
      </w:r>
    </w:p>
    <w:p>
      <w:pPr>
        <w:spacing w:after="120"/>
      </w:pPr>
      <w:r>
        <w:t xml:space="preserve">A well-calibrated model's predicted probabilities should align with actual outcome frequencies. Analysis confirms strong calibration: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Confidence Range</w:t>
            </w:r>
          </w:p>
        </w:tc>
        <w:tc>
          <w:tcPr>
            <w:tcW w:type="dxa" w:w="312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Win Rate</w:t>
            </w:r>
          </w:p>
        </w:tc>
        <w:tc>
          <w:tcPr>
            <w:tcW w:type="dxa" w:w="3120"/>
            <w:tcBorders>
              <w:top w:val="single" w:color="CCCCCC" w:sz="1"/>
              <w:left w:val="single" w:color="CCCCCC" w:sz="1"/>
              <w:bottom w:val="single" w:color="CCCCCC" w:sz="1"/>
              <w:right w:val="single" w:color="CCCCCC" w:sz="1"/>
            </w:tcBorders>
            <w:shd w:fill="4472C4" w:val="clear"/>
          </w:tcPr>
          <w:p>
            <w:pPr>
              <w:jc w:val="center"/>
            </w:pPr>
            <w:r>
              <w:rPr>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tcPr>
          <w:p>
            <w:pPr>
              <w:jc w:val="center"/>
            </w:pPr>
            <w:r>
              <w:t xml:space="preserve">&lt;0.30</w:t>
            </w:r>
          </w:p>
        </w:tc>
        <w:tc>
          <w:tcPr>
            <w:tcW w:type="dxa" w:w="3120"/>
            <w:tcBorders>
              <w:top w:val="single" w:color="CCCCCC" w:sz="1"/>
              <w:left w:val="single" w:color="CCCCCC" w:sz="1"/>
              <w:bottom w:val="single" w:color="CCCCCC" w:sz="1"/>
              <w:right w:val="single" w:color="CCCCCC" w:sz="1"/>
            </w:tcBorders>
          </w:tcPr>
          <w:p>
            <w:pPr>
              <w:jc w:val="center"/>
            </w:pPr>
            <w:r>
              <w:t xml:space="preserve">45-48%</w:t>
            </w:r>
          </w:p>
        </w:tc>
        <w:tc>
          <w:tcPr>
            <w:tcW w:type="dxa" w:w="3120"/>
            <w:tcBorders>
              <w:top w:val="single" w:color="CCCCCC" w:sz="1"/>
              <w:left w:val="single" w:color="CCCCCC" w:sz="1"/>
              <w:bottom w:val="single" w:color="CCCCCC" w:sz="1"/>
              <w:right w:val="single" w:color="CCCCCC" w:sz="1"/>
            </w:tcBorders>
          </w:tcPr>
          <w:p>
            <w:r>
              <w:t xml:space="preserve">No edge</w:t>
            </w:r>
          </w:p>
        </w:tc>
      </w:tr>
      <w:tr>
        <w:tc>
          <w:tcPr>
            <w:tcW w:type="dxa" w:w="3120"/>
            <w:tcBorders>
              <w:top w:val="single" w:color="CCCCCC" w:sz="1"/>
              <w:left w:val="single" w:color="CCCCCC" w:sz="1"/>
              <w:bottom w:val="single" w:color="CCCCCC" w:sz="1"/>
              <w:right w:val="single" w:color="CCCCCC" w:sz="1"/>
            </w:tcBorders>
          </w:tcPr>
          <w:p>
            <w:pPr>
              <w:jc w:val="center"/>
            </w:pPr>
            <w:r>
              <w:t xml:space="preserve">0.30-0.34</w:t>
            </w:r>
          </w:p>
        </w:tc>
        <w:tc>
          <w:tcPr>
            <w:tcW w:type="dxa" w:w="3120"/>
            <w:tcBorders>
              <w:top w:val="single" w:color="CCCCCC" w:sz="1"/>
              <w:left w:val="single" w:color="CCCCCC" w:sz="1"/>
              <w:bottom w:val="single" w:color="CCCCCC" w:sz="1"/>
              <w:right w:val="single" w:color="CCCCCC" w:sz="1"/>
            </w:tcBorders>
          </w:tcPr>
          <w:p>
            <w:pPr>
              <w:jc w:val="center"/>
            </w:pPr>
            <w:r>
              <w:t xml:space="preserve">50-54%</w:t>
            </w:r>
          </w:p>
        </w:tc>
        <w:tc>
          <w:tcPr>
            <w:tcW w:type="dxa" w:w="3120"/>
            <w:tcBorders>
              <w:top w:val="single" w:color="CCCCCC" w:sz="1"/>
              <w:left w:val="single" w:color="CCCCCC" w:sz="1"/>
              <w:bottom w:val="single" w:color="CCCCCC" w:sz="1"/>
              <w:right w:val="single" w:color="CCCCCC" w:sz="1"/>
            </w:tcBorders>
          </w:tcPr>
          <w:p>
            <w:r>
              <w:t xml:space="preserve">Marginal edge</w:t>
            </w:r>
          </w:p>
        </w:tc>
      </w:tr>
      <w:tr>
        <w:tc>
          <w:tcPr>
            <w:tcW w:type="dxa" w:w="3120"/>
            <w:tcBorders>
              <w:top w:val="single" w:color="CCCCCC" w:sz="1"/>
              <w:left w:val="single" w:color="CCCCCC" w:sz="1"/>
              <w:bottom w:val="single" w:color="CCCCCC" w:sz="1"/>
              <w:right w:val="single" w:color="CCCCCC" w:sz="1"/>
            </w:tcBorders>
          </w:tcPr>
          <w:p>
            <w:pPr>
              <w:jc w:val="center"/>
            </w:pPr>
            <w:r>
              <w:t xml:space="preserve">0.34-0.36</w:t>
            </w:r>
          </w:p>
        </w:tc>
        <w:tc>
          <w:tcPr>
            <w:tcW w:type="dxa" w:w="3120"/>
            <w:tcBorders>
              <w:top w:val="single" w:color="CCCCCC" w:sz="1"/>
              <w:left w:val="single" w:color="CCCCCC" w:sz="1"/>
              <w:bottom w:val="single" w:color="CCCCCC" w:sz="1"/>
              <w:right w:val="single" w:color="CCCCCC" w:sz="1"/>
            </w:tcBorders>
          </w:tcPr>
          <w:p>
            <w:pPr>
              <w:jc w:val="center"/>
            </w:pPr>
            <w:r>
              <w:t xml:space="preserve">57-64%</w:t>
            </w:r>
          </w:p>
        </w:tc>
        <w:tc>
          <w:tcPr>
            <w:tcW w:type="dxa" w:w="3120"/>
            <w:tcBorders>
              <w:top w:val="single" w:color="CCCCCC" w:sz="1"/>
              <w:left w:val="single" w:color="CCCCCC" w:sz="1"/>
              <w:bottom w:val="single" w:color="CCCCCC" w:sz="1"/>
              <w:right w:val="single" w:color="CCCCCC" w:sz="1"/>
            </w:tcBorders>
          </w:tcPr>
          <w:p>
            <w:r>
              <w:t xml:space="preserve">Strong edge</w:t>
            </w:r>
          </w:p>
        </w:tc>
      </w:tr>
      <w:tr>
        <w:tc>
          <w:tcPr>
            <w:tcW w:type="dxa" w:w="3120"/>
            <w:tcBorders>
              <w:top w:val="single" w:color="CCCCCC" w:sz="1"/>
              <w:left w:val="single" w:color="CCCCCC" w:sz="1"/>
              <w:bottom w:val="single" w:color="CCCCCC" w:sz="1"/>
              <w:right w:val="single" w:color="CCCCCC" w:sz="1"/>
            </w:tcBorders>
          </w:tcPr>
          <w:p>
            <w:pPr>
              <w:jc w:val="center"/>
            </w:pPr>
            <w:r>
              <w:t xml:space="preserve">&gt;0.36</w:t>
            </w:r>
          </w:p>
        </w:tc>
        <w:tc>
          <w:tcPr>
            <w:tcW w:type="dxa" w:w="3120"/>
            <w:tcBorders>
              <w:top w:val="single" w:color="CCCCCC" w:sz="1"/>
              <w:left w:val="single" w:color="CCCCCC" w:sz="1"/>
              <w:bottom w:val="single" w:color="CCCCCC" w:sz="1"/>
              <w:right w:val="single" w:color="CCCCCC" w:sz="1"/>
            </w:tcBorders>
          </w:tcPr>
          <w:p>
            <w:pPr>
              <w:jc w:val="center"/>
            </w:pPr>
            <w:r>
              <w:t xml:space="preserve">67-78%</w:t>
            </w:r>
          </w:p>
        </w:tc>
        <w:tc>
          <w:tcPr>
            <w:tcW w:type="dxa" w:w="3120"/>
            <w:tcBorders>
              <w:top w:val="single" w:color="CCCCCC" w:sz="1"/>
              <w:left w:val="single" w:color="CCCCCC" w:sz="1"/>
              <w:bottom w:val="single" w:color="CCCCCC" w:sz="1"/>
              <w:right w:val="single" w:color="CCCCCC" w:sz="1"/>
            </w:tcBorders>
          </w:tcPr>
          <w:p>
            <w:r>
              <w:t xml:space="preserve">Excellent edge</w:t>
            </w:r>
          </w:p>
        </w:tc>
      </w:tr>
    </w:tbl>
    <w:p>
      <w:pPr>
        <w:spacing w:before="180" w:after="120"/>
      </w:pPr>
      <w:r>
        <w:t xml:space="preserve">The monotonic increase in win rate with confidence threshold confirms the model properly quantifies prediction uncertainty. This calibration is essential for confidence-based filtering to be effective.</w:t>
      </w:r>
    </w:p>
    <w:p>
      <w:pPr>
        <w:pStyle w:val="Heading2"/>
      </w:pPr>
      <w:r>
        <w:t xml:space="preserve">5.2 Time Series Integrity</w:t>
      </w:r>
    </w:p>
    <w:p>
      <w:pPr>
        <w:spacing w:after="120"/>
      </w:pPr>
      <w:r>
        <w:rPr>
          <w:b/>
          <w:bCs/>
        </w:rPr>
        <w:t xml:space="preserve">Data Splitting:</w:t>
      </w:r>
    </w:p>
    <w:p>
      <w:pPr>
        <w:pStyle w:val="ListParagraph"/>
        <w:numPr>
          <w:ilvl w:val="0"/>
          <w:numId w:val="2"/>
        </w:numPr>
      </w:pPr>
      <w:r>
        <w:t xml:space="preserve">95% train / 5% test split without shuffling</w:t>
      </w:r>
    </w:p>
    <w:p>
      <w:pPr>
        <w:pStyle w:val="ListParagraph"/>
        <w:numPr>
          <w:ilvl w:val="0"/>
          <w:numId w:val="2"/>
        </w:numPr>
      </w:pPr>
      <w:r>
        <w:t xml:space="preserve">Test period: Final 1,583 bars (AngelOne) and 2,439 bars (BSE)</w:t>
      </w:r>
    </w:p>
    <w:p>
      <w:pPr>
        <w:pStyle w:val="ListParagraph"/>
        <w:numPr>
          <w:ilvl w:val="0"/>
          <w:numId w:val="2"/>
        </w:numPr>
      </w:pPr>
      <w:r>
        <w:t xml:space="preserve">No validation set to maximize training data (simple model with depth 3 has low overfit risk)</w:t>
      </w:r>
    </w:p>
    <w:p>
      <w:pPr>
        <w:spacing w:before="180" w:after="120"/>
      </w:pPr>
      <w:r>
        <w:rPr>
          <w:b/>
          <w:bCs/>
        </w:rPr>
        <w:t xml:space="preserve">Feature Calculation:</w:t>
      </w:r>
    </w:p>
    <w:p>
      <w:pPr>
        <w:pStyle w:val="ListParagraph"/>
        <w:numPr>
          <w:ilvl w:val="0"/>
          <w:numId w:val="2"/>
        </w:numPr>
      </w:pPr>
      <w:r>
        <w:t xml:space="preserve">All features use only past information (no forward-looking calculations)</w:t>
      </w:r>
    </w:p>
    <w:p>
      <w:pPr>
        <w:pStyle w:val="ListParagraph"/>
        <w:numPr>
          <w:ilvl w:val="0"/>
          <w:numId w:val="2"/>
        </w:numPr>
      </w:pPr>
      <w:r>
        <w:t xml:space="preserve">Rolling windows explicitly exclude current bar</w:t>
      </w:r>
    </w:p>
    <w:p>
      <w:pPr>
        <w:pStyle w:val="ListParagraph"/>
        <w:numPr>
          <w:ilvl w:val="0"/>
          <w:numId w:val="2"/>
        </w:numPr>
      </w:pPr>
      <w:r>
        <w:t xml:space="preserve">Target variable uses shifted returns (predict t+1 from features at t)</w:t>
      </w:r>
    </w:p>
    <w:p>
      <w:pPr>
        <w:pStyle w:val="Heading2"/>
      </w:pPr>
      <w:r>
        <w:t xml:space="preserve">5.3 Overfitting Analysis</w:t>
      </w:r>
    </w:p>
    <w:p>
      <w:pPr>
        <w:spacing w:after="120"/>
      </w:pPr>
      <w:r>
        <w:t xml:space="preserve">Overfit gap (train accuracy - test accuracy) measures model generalization:</w:t>
      </w:r>
    </w:p>
    <w:p>
      <w:pPr>
        <w:pStyle w:val="ListParagraph"/>
        <w:numPr>
          <w:ilvl w:val="0"/>
          <w:numId w:val="2"/>
        </w:numPr>
      </w:pPr>
      <w:r>
        <w:t xml:space="preserve">AngelOne: -0.33% (model generalizes better than it memorizes)</w:t>
      </w:r>
    </w:p>
    <w:p>
      <w:pPr>
        <w:pStyle w:val="ListParagraph"/>
        <w:numPr>
          <w:ilvl w:val="0"/>
          <w:numId w:val="2"/>
        </w:numPr>
      </w:pPr>
      <w:r>
        <w:t xml:space="preserve">BSE: -0.20% (negative gap indicates conservative predictions)</w:t>
      </w:r>
    </w:p>
    <w:p>
      <w:pPr>
        <w:spacing w:before="120" w:after="120"/>
      </w:pPr>
      <w:r>
        <w:t xml:space="preserve">Negative overfit gaps are unusual and suggest the model is underexploiting training patterns rather than overfitting. This conservative behavior is desirable for out-of-sample generalization and indicates the max_depth=3 regularization is effective.</w:t>
      </w:r>
    </w:p>
    <w:p>
      <w:r>
        <w:br w:type="page"/>
      </w:r>
    </w:p>
    <w:p>
      <w:pPr>
        <w:pStyle w:val="Heading1"/>
      </w:pPr>
      <w:r>
        <w:t xml:space="preserve">6. Implementation Roadmap</w:t>
      </w:r>
    </w:p>
    <w:p>
      <w:pPr>
        <w:pStyle w:val="Heading2"/>
      </w:pPr>
      <w:r>
        <w:t xml:space="preserve">6.1 Next Steps</w:t>
      </w:r>
    </w:p>
    <w:p>
      <w:pPr>
        <w:pStyle w:val="ListParagraph"/>
        <w:numPr>
          <w:ilvl w:val="0"/>
          <w:numId w:val="3"/>
        </w:numPr>
      </w:pPr>
      <w:r>
        <w:rPr>
          <w:b/>
          <w:bCs/>
        </w:rPr>
        <w:t xml:space="preserve">Walk-Forward Validation (Priority 1)</w:t>
      </w:r>
    </w:p>
    <w:p>
      <w:pPr>
        <w:spacing w:before="60" w:after="120"/>
        <w:ind w:left="720"/>
      </w:pPr>
      <w:r>
        <w:t xml:space="preserve">Test strategy across multiple time periods using TimeSeriesSplit with 5-10 folds. Expected result: Mean Sharpe 1.0-1.3 (degradation from single test period is normal). This validates temporal stability and identifies regime-dependent performance.</w:t>
      </w:r>
    </w:p>
    <w:p>
      <w:pPr>
        <w:pStyle w:val="ListParagraph"/>
        <w:numPr>
          <w:ilvl w:val="0"/>
          <w:numId w:val="3"/>
        </w:numPr>
      </w:pPr>
      <w:r>
        <w:rPr>
          <w:b/>
          <w:bCs/>
        </w:rPr>
        <w:t xml:space="preserve">Stock Universe Expansion (Priority 2)</w:t>
      </w:r>
    </w:p>
    <w:p>
      <w:pPr>
        <w:spacing w:before="60" w:after="120"/>
        <w:ind w:left="720"/>
      </w:pPr>
      <w:r>
        <w:t xml:space="preserve">Test 5-10 additional NSE stocks across volatility regimes:</w:t>
      </w:r>
    </w:p>
    <w:p>
      <w:pPr>
        <w:pStyle w:val="ListParagraph"/>
        <w:numPr>
          <w:ilvl w:val="0"/>
          <w:numId w:val="2"/>
        </w:numPr>
        <w:ind w:left="1440"/>
      </w:pPr>
      <w:r>
        <w:t xml:space="preserve">High volatility (&gt;3% daily): ZOMATO, PAYTM, POLICYBAZAAR</w:t>
      </w:r>
    </w:p>
    <w:p>
      <w:pPr>
        <w:pStyle w:val="ListParagraph"/>
        <w:numPr>
          <w:ilvl w:val="0"/>
          <w:numId w:val="2"/>
        </w:numPr>
        <w:ind w:left="1440"/>
      </w:pPr>
      <w:r>
        <w:t xml:space="preserve">Medium volatility (2-3%): INFY, TCS, WIPRO</w:t>
      </w:r>
    </w:p>
    <w:p>
      <w:pPr>
        <w:pStyle w:val="ListParagraph"/>
        <w:numPr>
          <w:ilvl w:val="0"/>
          <w:numId w:val="2"/>
        </w:numPr>
        <w:ind w:left="1440"/>
      </w:pPr>
      <w:r>
        <w:t xml:space="preserve">Low volatility (&lt;2%): HDFCBANK, ICICIBANK, RELIANCE</w:t>
      </w:r>
    </w:p>
    <w:p>
      <w:pPr>
        <w:pStyle w:val="ListParagraph"/>
        <w:numPr>
          <w:ilvl w:val="0"/>
          <w:numId w:val="3"/>
        </w:numPr>
      </w:pPr>
      <w:r>
        <w:rPr>
          <w:b/>
          <w:bCs/>
        </w:rPr>
        <w:t xml:space="preserve">K-Means Clustering (Priority 3)</w:t>
      </w:r>
    </w:p>
    <w:p>
      <w:pPr>
        <w:spacing w:before="60" w:after="120"/>
        <w:ind w:left="720"/>
      </w:pPr>
      <w:r>
        <w:t xml:space="preserve">Cluster NSE stocks by feature characteristics (volatility, volume patterns, momentum persistence) to systematically identify candidates with similar statistical properties to AngelOne and BSE. This data-driven approach scales stock selection beyond manual curation.</w:t>
      </w:r>
    </w:p>
    <w:p>
      <w:pPr>
        <w:pStyle w:val="ListParagraph"/>
        <w:numPr>
          <w:ilvl w:val="0"/>
          <w:numId w:val="3"/>
        </w:numPr>
      </w:pPr>
      <w:r>
        <w:rPr>
          <w:b/>
          <w:bCs/>
        </w:rPr>
        <w:t xml:space="preserve">XGBoost Comparison (Priority 4)</w:t>
      </w:r>
    </w:p>
    <w:p>
      <w:pPr>
        <w:spacing w:before="60" w:after="120"/>
        <w:ind w:left="720"/>
      </w:pPr>
      <w:r>
        <w:t xml:space="preserve">Test gradient boosting (XGBoost) as alternative to Random Forest. Expected improvement: +0.1 to +0.3 Sharpe due to better handling of feature interactions. However, increased overfitting risk requires careful regularization.</w:t>
      </w:r>
    </w:p>
    <w:p>
      <w:pPr>
        <w:pStyle w:val="Heading2"/>
      </w:pPr>
      <w:r>
        <w:t xml:space="preserve">6.2 Portfolio Construction Framework</w:t>
      </w:r>
    </w:p>
    <w:p>
      <w:pPr>
        <w:spacing w:after="120"/>
      </w:pPr>
      <w:r>
        <w:rPr>
          <w:b/>
          <w:bCs/>
        </w:rPr>
        <w:t xml:space="preserve">Target Configuration:</w:t>
      </w:r>
    </w:p>
    <w:p>
      <w:pPr>
        <w:pStyle w:val="ListParagraph"/>
        <w:numPr>
          <w:ilvl w:val="0"/>
          <w:numId w:val="2"/>
        </w:numPr>
      </w:pPr>
      <w:r>
        <w:t xml:space="preserve">8-10 stocks across volatility regimes</w:t>
      </w:r>
    </w:p>
    <w:p>
      <w:pPr>
        <w:pStyle w:val="ListParagraph"/>
        <w:numPr>
          <w:ilvl w:val="0"/>
          <w:numId w:val="2"/>
        </w:numPr>
      </w:pPr>
      <w:r>
        <w:t xml:space="preserve">Stock-specific confidence thresholds (0.24-0.38 range)</w:t>
      </w:r>
    </w:p>
    <w:p>
      <w:pPr>
        <w:pStyle w:val="ListParagraph"/>
        <w:numPr>
          <w:ilvl w:val="0"/>
          <w:numId w:val="2"/>
        </w:numPr>
      </w:pPr>
      <w:r>
        <w:t xml:space="preserve">Expected portfolio trades: 500-1,000 per test period</w:t>
      </w:r>
    </w:p>
    <w:p>
      <w:pPr>
        <w:pStyle w:val="ListParagraph"/>
        <w:numPr>
          <w:ilvl w:val="0"/>
          <w:numId w:val="2"/>
        </w:numPr>
      </w:pPr>
      <w:r>
        <w:t xml:space="preserve">Target portfolio Sharpe: 2.0-2.5</w:t>
      </w:r>
    </w:p>
    <w:p>
      <w:pPr>
        <w:pStyle w:val="ListParagraph"/>
        <w:numPr>
          <w:ilvl w:val="0"/>
          <w:numId w:val="2"/>
        </w:numPr>
      </w:pPr>
      <w:r>
        <w:t xml:space="preserve">Capital allocation: Equal weight or volatility-adjusted</w:t>
      </w:r>
    </w:p>
    <w:p>
      <w:pPr>
        <w:spacing w:before="180" w:after="120"/>
      </w:pPr>
      <w:r>
        <w:rPr>
          <w:b/>
          <w:bCs/>
        </w:rPr>
        <w:t xml:space="preserve">Risk Management:</w:t>
      </w:r>
    </w:p>
    <w:p>
      <w:pPr>
        <w:pStyle w:val="ListParagraph"/>
        <w:numPr>
          <w:ilvl w:val="0"/>
          <w:numId w:val="2"/>
        </w:numPr>
      </w:pPr>
      <w:r>
        <w:t xml:space="preserve">Maximum position size: 15-20% per stock</w:t>
      </w:r>
    </w:p>
    <w:p>
      <w:pPr>
        <w:pStyle w:val="ListParagraph"/>
        <w:numPr>
          <w:ilvl w:val="0"/>
          <w:numId w:val="2"/>
        </w:numPr>
      </w:pPr>
      <w:r>
        <w:t xml:space="preserve">Maximum portfolio leverage: 1.0x (fully invested when signals present)</w:t>
      </w:r>
    </w:p>
    <w:p>
      <w:pPr>
        <w:pStyle w:val="ListParagraph"/>
        <w:numPr>
          <w:ilvl w:val="0"/>
          <w:numId w:val="2"/>
        </w:numPr>
      </w:pPr>
      <w:r>
        <w:t xml:space="preserve">Daily drawdown limit: 5% (circuit breaker)</w:t>
      </w:r>
    </w:p>
    <w:p>
      <w:pPr>
        <w:pStyle w:val="ListParagraph"/>
        <w:numPr>
          <w:ilvl w:val="0"/>
          <w:numId w:val="2"/>
        </w:numPr>
      </w:pPr>
      <w:r>
        <w:t xml:space="preserve">Maximum drawdown tolerance: 15%</w:t>
      </w:r>
    </w:p>
    <w:p>
      <w:r>
        <w:br w:type="page"/>
      </w:r>
    </w:p>
    <w:p>
      <w:pPr>
        <w:pStyle w:val="Heading1"/>
      </w:pPr>
      <w:r>
        <w:t xml:space="preserve">7. Risk Considerations</w:t>
      </w:r>
    </w:p>
    <w:p>
      <w:pPr>
        <w:pStyle w:val="Heading2"/>
      </w:pPr>
      <w:r>
        <w:t xml:space="preserve">7.1 Known Limitations</w:t>
      </w:r>
    </w:p>
    <w:p>
      <w:pPr>
        <w:pStyle w:val="ListParagraph"/>
        <w:numPr>
          <w:ilvl w:val="0"/>
          <w:numId w:val="2"/>
        </w:numPr>
      </w:pPr>
      <w:r>
        <w:rPr>
          <w:b/>
          <w:bCs/>
        </w:rPr>
        <w:t xml:space="preserve">Sample Size Risk: </w:t>
      </w:r>
      <w:r>
        <w:t xml:space="preserve">AngelOne optimal threshold (0.36) generates only 18 trades. Statistical significance is limited. Walk-forward validation critical.</w:t>
      </w:r>
    </w:p>
    <w:p>
      <w:pPr>
        <w:pStyle w:val="ListParagraph"/>
        <w:numPr>
          <w:ilvl w:val="0"/>
          <w:numId w:val="2"/>
        </w:numPr>
      </w:pPr>
      <w:r>
        <w:rPr>
          <w:b/>
          <w:bCs/>
        </w:rPr>
        <w:t xml:space="preserve">Regime Dependency: </w:t>
      </w:r>
      <w:r>
        <w:t xml:space="preserve">Strategy performance varies across market regimes. Bull markets, bear markets, and sideways markets may show different Sharpe ratios.</w:t>
      </w:r>
    </w:p>
    <w:p>
      <w:pPr>
        <w:pStyle w:val="ListParagraph"/>
        <w:numPr>
          <w:ilvl w:val="0"/>
          <w:numId w:val="2"/>
        </w:numPr>
      </w:pPr>
      <w:r>
        <w:rPr>
          <w:b/>
          <w:bCs/>
        </w:rPr>
        <w:t xml:space="preserve">Execution Assumptions: </w:t>
      </w:r>
      <w:r>
        <w:t xml:space="preserve">Backtests assume 0.04% transaction costs and no slippage. Real execution at market open/close may experience 1-2 bps additional cost.</w:t>
      </w:r>
    </w:p>
    <w:p>
      <w:pPr>
        <w:pStyle w:val="ListParagraph"/>
        <w:numPr>
          <w:ilvl w:val="0"/>
          <w:numId w:val="2"/>
        </w:numPr>
      </w:pPr>
      <w:r>
        <w:rPr>
          <w:b/>
          <w:bCs/>
        </w:rPr>
        <w:t xml:space="preserve">Survivorship Bias: </w:t>
      </w:r>
      <w:r>
        <w:t xml:space="preserve">Stocks tested (AngelOne, BSE) are currently trading. Failed or delisted stocks excluded from analysis.</w:t>
      </w:r>
    </w:p>
    <w:p>
      <w:pPr>
        <w:pStyle w:val="ListParagraph"/>
        <w:numPr>
          <w:ilvl w:val="0"/>
          <w:numId w:val="2"/>
        </w:numPr>
      </w:pPr>
      <w:r>
        <w:rPr>
          <w:b/>
          <w:bCs/>
        </w:rPr>
        <w:t xml:space="preserve">Model Decay: </w:t>
      </w:r>
      <w:r>
        <w:t xml:space="preserve">Financial patterns evolve. Model requires periodic retraining (recommended: quarterly) to maintain edge.</w:t>
      </w:r>
    </w:p>
    <w:p>
      <w:pPr>
        <w:pStyle w:val="Heading2"/>
      </w:pPr>
      <w:r>
        <w:t xml:space="preserve">7.2 Mitigation Strategies</w:t>
      </w:r>
    </w:p>
    <w:p>
      <w:pPr>
        <w:pStyle w:val="ListParagraph"/>
        <w:numPr>
          <w:ilvl w:val="0"/>
          <w:numId w:val="2"/>
        </w:numPr>
      </w:pPr>
      <w:r>
        <w:rPr>
          <w:b/>
          <w:bCs/>
        </w:rPr>
        <w:t xml:space="preserve">Diversification: </w:t>
      </w:r>
      <w:r>
        <w:t xml:space="preserve">Portfolio approach reduces single-stock risk. Target 8-10 uncorrelated stocks.</w:t>
      </w:r>
    </w:p>
    <w:p>
      <w:pPr>
        <w:pStyle w:val="ListParagraph"/>
        <w:numPr>
          <w:ilvl w:val="0"/>
          <w:numId w:val="2"/>
        </w:numPr>
      </w:pPr>
      <w:r>
        <w:rPr>
          <w:b/>
          <w:bCs/>
        </w:rPr>
        <w:t xml:space="preserve">Position Sizing: </w:t>
      </w:r>
      <w:r>
        <w:t xml:space="preserve">Scale position size by prediction confidence. Higher confidence = larger position within risk limits.</w:t>
      </w:r>
    </w:p>
    <w:p>
      <w:pPr>
        <w:pStyle w:val="ListParagraph"/>
        <w:numPr>
          <w:ilvl w:val="0"/>
          <w:numId w:val="2"/>
        </w:numPr>
      </w:pPr>
      <w:r>
        <w:rPr>
          <w:b/>
          <w:bCs/>
        </w:rPr>
        <w:t xml:space="preserve">Monitoring: </w:t>
      </w:r>
      <w:r>
        <w:t xml:space="preserve">Track rolling Sharpe ratio. If drops below 0.5 for 3 months, pause strategy and investigate.</w:t>
      </w:r>
    </w:p>
    <w:p>
      <w:pPr>
        <w:pStyle w:val="ListParagraph"/>
        <w:numPr>
          <w:ilvl w:val="0"/>
          <w:numId w:val="2"/>
        </w:numPr>
      </w:pPr>
      <w:r>
        <w:rPr>
          <w:b/>
          <w:bCs/>
        </w:rPr>
        <w:t xml:space="preserve">Paper Trading: </w:t>
      </w:r>
      <w:r>
        <w:t xml:space="preserve">Deploy 3-month paper trading period before live capital. Validate execution quality and cost assumptions.</w:t>
      </w:r>
    </w:p>
    <w:p>
      <w:r>
        <w:br w:type="page"/>
      </w:r>
    </w:p>
    <w:p>
      <w:pPr>
        <w:pStyle w:val="Heading1"/>
      </w:pPr>
      <w:r>
        <w:t xml:space="preserve">8. Conclusion</w:t>
      </w:r>
    </w:p>
    <w:p>
      <w:pPr>
        <w:spacing w:after="120"/>
      </w:pPr>
      <w:r>
        <w:t xml:space="preserve">This research demonstrates that machine learning-based directional prediction can achieve institutional-grade performance (Sharpe 2.0+) when combined with rigorous methodology:</w:t>
      </w:r>
    </w:p>
    <w:p>
      <w:pPr>
        <w:pStyle w:val="ListParagraph"/>
        <w:numPr>
          <w:ilvl w:val="0"/>
          <w:numId w:val="4"/>
        </w:numPr>
      </w:pPr>
      <w:r>
        <w:t xml:space="preserve">Confidence-based filtering is essential for profitability in noisy markets</w:t>
      </w:r>
    </w:p>
    <w:p>
      <w:pPr>
        <w:pStyle w:val="ListParagraph"/>
        <w:numPr>
          <w:ilvl w:val="0"/>
          <w:numId w:val="4"/>
        </w:numPr>
      </w:pPr>
      <w:r>
        <w:t xml:space="preserve">Stock-specific threshold optimization enables consistent performance across volatility regimes</w:t>
      </w:r>
    </w:p>
    <w:p>
      <w:pPr>
        <w:pStyle w:val="ListParagraph"/>
        <w:numPr>
          <w:ilvl w:val="0"/>
          <w:numId w:val="4"/>
        </w:numPr>
      </w:pPr>
      <w:r>
        <w:t xml:space="preserve">Microstructure and time features dominate momentum indicators in predictive power</w:t>
      </w:r>
    </w:p>
    <w:p>
      <w:pPr>
        <w:pStyle w:val="ListParagraph"/>
        <w:numPr>
          <w:ilvl w:val="0"/>
          <w:numId w:val="4"/>
        </w:numPr>
      </w:pPr>
      <w:r>
        <w:t xml:space="preserve">Expanding window percentiles prevent look-ahead bias in dynamic class boundaries</w:t>
      </w:r>
    </w:p>
    <w:p>
      <w:pPr>
        <w:pStyle w:val="ListParagraph"/>
        <w:numPr>
          <w:ilvl w:val="0"/>
          <w:numId w:val="4"/>
        </w:numPr>
      </w:pPr>
      <w:r>
        <w:t xml:space="preserve">Transaction costs dominate returns; trade quality vastly outweighs trade quantity</w:t>
      </w:r>
    </w:p>
    <w:p>
      <w:pPr>
        <w:spacing w:before="180" w:after="120"/>
      </w:pPr>
      <w:r>
        <w:t xml:space="preserve">The strategy's success contradicts the common belief that direct market direction prediction is futile. However, this success is contingent on:</w:t>
      </w:r>
    </w:p>
    <w:p>
      <w:pPr>
        <w:pStyle w:val="ListParagraph"/>
        <w:numPr>
          <w:ilvl w:val="0"/>
          <w:numId w:val="2"/>
        </w:numPr>
      </w:pPr>
      <w:r>
        <w:t xml:space="preserve">Sophisticated filtering (confidence thresholds)</w:t>
      </w:r>
    </w:p>
    <w:p>
      <w:pPr>
        <w:pStyle w:val="ListParagraph"/>
        <w:numPr>
          <w:ilvl w:val="0"/>
          <w:numId w:val="2"/>
        </w:numPr>
      </w:pPr>
      <w:r>
        <w:t xml:space="preserve">Proper stock selection (volatility regime matching)</w:t>
      </w:r>
    </w:p>
    <w:p>
      <w:pPr>
        <w:pStyle w:val="ListParagraph"/>
        <w:numPr>
          <w:ilvl w:val="0"/>
          <w:numId w:val="2"/>
        </w:numPr>
      </w:pPr>
      <w:r>
        <w:t xml:space="preserve">Conservative position sizing</w:t>
      </w:r>
    </w:p>
    <w:p>
      <w:pPr>
        <w:pStyle w:val="ListParagraph"/>
        <w:numPr>
          <w:ilvl w:val="0"/>
          <w:numId w:val="2"/>
        </w:numPr>
      </w:pPr>
      <w:r>
        <w:t xml:space="preserve">Rigorous validation (walk-forward testing)</w:t>
      </w:r>
    </w:p>
    <w:p>
      <w:pPr>
        <w:spacing w:before="180" w:after="120"/>
      </w:pPr>
      <w:r>
        <w:rPr>
          <w:b/>
          <w:bCs/>
        </w:rPr>
        <w:t xml:space="preserve">Next Phase:</w:t>
      </w:r>
    </w:p>
    <w:p>
      <w:pPr>
        <w:spacing w:after="120"/>
      </w:pPr>
      <w:r>
        <w:t xml:space="preserve">Expansion to an 8-10 stock portfolio with walk-forward validation will determine if the observed Sharpe ratios are robust across market conditions. Expected portfolio Sharpe of 1.5-2.0 after accounting for regime variability would represent a deployable institutional-grade quantitative strategy.</w:t>
      </w:r>
    </w:p>
    <w:p>
      <w:pPr>
        <w:pStyle w:val="HighlightBox"/>
      </w:pPr>
      <w:r>
        <w:t xml:space="preserve">Status: Research strategy validated on 2 stocks. Portfolio construction and walk-forward validation required before deployment.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2E509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4472C4"/>
      <w:sz w:val="30"/>
      <w:szCs w:val="30"/>
    </w:rPr>
  </w:style>
  <w:style w:type="paragraph" w:styleId="Heading3">
    <w:name w:val="Heading 3"/>
    <w:basedOn w:val="Normal"/>
    <w:next w:val="Normal"/>
    <w:qFormat/>
    <w:pPr>
      <w:spacing w:before="180" w:after="120"/>
      <w:outlineLvl w:val="2"/>
    </w:pPr>
    <w:rPr>
      <w:rFonts w:ascii="Arial" w:cs="Arial" w:eastAsia="Arial" w:hAnsi="Arial"/>
      <w:b/>
      <w:bCs/>
      <w:color w:val="5B9BD5"/>
      <w:sz w:val="26"/>
      <w:szCs w:val="26"/>
    </w:rPr>
  </w:style>
  <w:style w:type="paragraph" w:styleId="HighlightBox">
    <w:name w:val="Highlight Box"/>
    <w:basedOn w:val="Normal"/>
    <w:pPr>
      <w:spacing w:before="180" w:after="180"/>
    </w:pPr>
    <w:rPr>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2025-12-23T08:23:20.897Z</dcterms:created>
  <dcterms:modified xsi:type="dcterms:W3CDTF">2025-12-23T08:23:20.898Z</dcterms:modified>
</cp:coreProperties>
</file>

<file path=docProps/custom.xml><?xml version="1.0" encoding="utf-8"?>
<Properties xmlns="http://schemas.openxmlformats.org/officeDocument/2006/custom-properties" xmlns:vt="http://schemas.openxmlformats.org/officeDocument/2006/docPropsVTypes"/>
</file>