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 ExtraBold" w:cs="Montserrat ExtraBold" w:eastAsia="Montserrat ExtraBold" w:hAnsi="Montserrat ExtraBold"/>
          <w:sz w:val="66"/>
          <w:szCs w:val="66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66"/>
          <w:szCs w:val="66"/>
          <w:rtl w:val="0"/>
        </w:rPr>
        <w:t xml:space="preserve">Marzive DAO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ssfrwqoa9q8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Core Functionalities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Governance Mechanism: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Voting system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Develop a transparent mechanism where members vote on proposals using $MZS or governance tokens.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Proposal creation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Marzive Elites members submit proposals for challenges, partnerships, or funding project requests and so many more.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Treasury Management: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Secure storage of funds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 multi-signature wallets or smart contracts to manage and safeguard the DAO’s funds.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Token allocation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Enable the DAO to distribute rewards, fund projects, or manage community grants.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Token Management: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$MZS distribution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Automate the allocation of $MZS to participants based on pre-set rules, such as staking or investment levels.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system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Create incentives for community engagement and contributions. [You can check the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$MZS tokenomics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here]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Membership System: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Access control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Allow verified members or stakeholders to participate in voting and discussions.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Onboarding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Easy processes for new members to join, acquire governance tokens, or earn roles within the DAO.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Transparency Tools: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Audit trails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All transactions and governance decisions should be publicly visible on the blockchain [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Base Blockchain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].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Analytics dashboard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 data on token usage, treasury balances, and voting outcomes.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Interoperability with Blockchain: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Base integration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 the Base Layer 2 to leverage Ethereum’s ecosystem while maintaining low costs.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Smart contract deployment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 contracts for automating governance, reward distributions, and operational rules.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os93psd2gmbb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Main Actions for the DAO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Voting and Decision-Making: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Community decisions on project priorities, treasury spending, or partnerships.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Approving or rejecting proposals for new initiatives or features.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Funding Allocations: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Funding development of $MZS-related infrastructure or partnerships.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Granting funds to innovative community projects that align with Marzive's vision.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Distribution: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Incentivize active members, developers, and contributors using $MZS or other tokens.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Allocate bonuses (like $Marz tokens) based on participation.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Regulatory Compliance: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compliance with Delaware Blockchain Corporation or LLC laws (as outlined in your email inquiry).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Record all governance actions in compliance with legal standards for tokenized ownership.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Community Engagement: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Host virtual meetings to discuss project updates and future plans.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public discussions or Q&amp;A sessions for better transparency and engagement.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Scaling and Adoption: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Promote Marzive DAO’s mission through campaigns, education, and partnerships.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Expand DAO membership and increase the adoption of $MZS in broader ecosystems.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Tokenization Features: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Tokenize membership and ensure holders have clear rights (e.g., voting power, staking opportunities).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 liquidity pools for $MZS to create a stable ecosystem for token holders.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v8i2gu2dtl4y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Additional features we should also consider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Dispute Resolution: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Implement arbitration mechanisms for resolving internal conflicts.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Upgradability: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Build flexibility into the DAO’s smart contracts for future changes or upgrades.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Integration with DeFi: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Offer staking, yield farming, or lending options for $MZS.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https://meet.google.com/kff-sunj-xtm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 ExtraBold" w:cs="Montserrat ExtraBold" w:eastAsia="Montserrat ExtraBold" w:hAnsi="Montserrat ExtraBol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Mwt72d3lCU-ChGZ1yPbEkE474TXgB9zf8_-pA7FvU6s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