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D20F1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12</w:t>
      </w:r>
    </w:p>
    <w:p w14:paraId="6F78E79D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8973318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departments and average ages where the average age is more than 30.</w:t>
      </w:r>
    </w:p>
    <w:p w14:paraId="05251DE6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34B526B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236085" cy="2616200"/>
            <wp:effectExtent l="0" t="0" r="635" b="508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E468">
      <w:pPr>
        <w:rPr>
          <w:b w:val="0"/>
          <w:bCs w:val="0"/>
          <w:sz w:val="21"/>
          <w:szCs w:val="21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21278E"/>
    <w:multiLevelType w:val="multilevel"/>
    <w:tmpl w:val="462127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C753F"/>
    <w:rsid w:val="49FC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2025-12-06T01:45:00Z</dcterms:created>
  <dc:creator>Shaina Balimbingan</dc:creator>
  <cp:lastModifiedBy>Shaina Balimbingan</cp:lastModifiedBy>
  <dcterms:modified xsi:type="dcterms:W3CDTF">2025-12-06T01:46:03Z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7FD1B25D43E14B9583170029F423861D_11</vt:lpwstr>
  </property>
</Properties>
</file>