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PINNACLE LENDING SOLUTIONS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Controls Gap Analysis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Current state vs. target control maturity | Remediation roadmap aligned to NIST CSF &amp; ISO 27001 | June 2026</w:t>
      </w:r>
    </w:p>
    <w:p>
      <w:pPr>
        <w:pStyle w:val="Heading1"/>
        <w:spacing w:after="120" w:before="120"/>
      </w:pPr>
      <w:r>
        <w:t xml:space="preserve">Executive Summary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>Pinnacle Lending Solutions has assessed its current information security controls against industry frameworks (NIST Cybersecurity Framework, ISO/IEC 27001) and regulatory requirements (GLBA, CFPB). This gap analysis identifies 20 critical control areas, evaluates current maturity, defines target maturity, and provides a remediation roadmap.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7 critical controls are absent or initial maturity (MFA, PAM, WISP, IR Plan, BCP, SIEM, Pen Testing)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5 controls are partial maturity and require enhancement (encryption, access reviews, vendor oversight)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8 controls are foundational and require process formalization and documentation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Estimated remediation timeline: 8–12 months with prioritized, phased approach</w:t>
      </w:r>
    </w:p>
    <w:p>
      <w:pPr>
        <w:pStyle w:val="Heading1"/>
        <w:spacing w:after="120" w:before="120"/>
      </w:pPr>
      <w:r>
        <w:t xml:space="preserve">Maturity Level Definitions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0 - Absent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Control does not exist; no processes or documentation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1 - Initial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Informal or ad hoc processes; some implementation but inconsistent or undocumented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2 - Partial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Process partially defined and implemented; some automation; limited documentation and monitoring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3 - Managed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Process fully defined, implemented, monitored, and documented; regular review and continuous improvement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4 - Optimized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Process integrated with organizational strategy; fully automated; continuous optimization and feedback loops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240"/>
      </w:pPr>
      <w:r>
        <w:t xml:space="preserve">Detailed Gap Analysis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900"/>
        <w:gridCol w:w="900"/>
        <w:gridCol w:w="1400"/>
        <w:gridCol w:w="1500"/>
        <w:gridCol w:w="900"/>
        <w:gridCol w:w="700"/>
        <w:gridCol w:w="6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Control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Current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Gap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Remediation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Owner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Timeline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Effort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 &amp; Access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Multi-Factor Authentication (MFA) on all critical systems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1 - Initial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3 - Managed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MFA not enforced on LOS, CRM, or email; basic password policy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Deploy MFA across LOS, CRM, email; require hardware keys or TOTP for privileged accounts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Aug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Identity &amp; Access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Privileged Access Management (PAM) for administrative accounts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1 - Initial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3 - Managed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Shared admin credentials; no session recording; no approval workflow for privileged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Implement PAM solution; eliminate shared accounts; log and audit all privileged activity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IT Manager / CISO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Nov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Data Protection &amp; Encryption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Full-disk encryption on all endpoints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2 - Partial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3 - Managed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Encryption not verified on all laptops and desktops; BYOD devices unencrypted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Enforce BitLocker/FileVault via Group Policy; enable remote wipe; baseline all devices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Aug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Data Protection &amp; Encryption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Encryption of data in transit (TLS/SSL)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2 - Partial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3 - Managed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LOS and CRM use TLS; internal data transfers and legacy systems lack consistent encryption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Enforce TLS 1.3 minimum; disable legacy protocols; encrypt internal API and database connections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Sep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Security Monitoring &amp;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SIEM deployment and log aggregation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1 - Initial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3 - Managed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 centralized log monitoring; individual system logs reviewed ad hoc; no alerting on critical 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Deploy Wazuh or Splunk; ingest LOS, CRM, network, and endpoint logs; configure alerts for high-risk events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IT Security / Compliance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Dec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Security Monitoring &amp;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Network intrusion detection and prevention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1 - Initial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2 - 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Basic firewall; no IDS/IPS; no network segmentation between critical systems and staff network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Implement IDS/IPS; segment LOS network from general staff; baseline traffic patterns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Nov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Incident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Documented Incident Response Plan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1 - Initial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3 - Managed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 formal IR plan; ad hoc escalation; no defined roles, timelines, or notification procedures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Draft IR Plan aligned to NIST; define roles (commander, investigator, communications); conduct tabletop exercise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CISO / Compliance Officer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Sep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Incident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Forensic investigation and evidence preservation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1 - Initial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2 - 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 formal forensic procedures; limited log retention; evidence handling not documented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Extend log retention to 2 years; document evidence handling procedures; establish forensic baseline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IT Security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Oct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Vulnerability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Vulnerability scanning and remediation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1 - Initial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3 - Managed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 regular vulnerability scans; patches applied ad hoc; no patch management process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Deploy vulnerability scanner; establish patch SLA (critical: 30 days; high: 60 days); track remediation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Oct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Vulnerability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Annual penetration testing and security assessments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0 - Absent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2 - 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 formal penetration testing; no external security assessments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Commission annual penetration test; conduct vulnerability assessment; document findings and remediation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CISO / External Partner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Dec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Business Continuity &amp; Disaster Recovery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3-2-1 backup strategy with testing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1 - Initial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3 - Managed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Daily backups to local NAS only; no offsite/cloud backup; restoration never tested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Implement 3-2-1 strategy (3 copies, 2 media types, 1 offsite); test quarterly; document RTO/RPO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Oct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Business Continuity &amp; Disaster Recovery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Business Continuity Plan (BCP) documentation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0 - Absent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2 - 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 documented BCP; recovery procedures informal; no defined recovery time objectives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Draft BCP with recovery priorities, alternate workspace, communication plan, and recovery procedures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COO / 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Oct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Third-Party Risk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Vendor security questionnaire and assessment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1 - Initial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2 - 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Basic contract language; no formal security assessment of vendors handling NPI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Develop security questionnaire; assess all vendors annually; require SOC 2 Type II or equivalent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Compliance Officer / Operations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Oct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Third-Party Risk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Vendor oversight and compliance monitoring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1 - Initial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2 - 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Vendor contracts exist; no ongoing monitoring or audit; no documentation of compliance reviews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Establish annual vendor risk review; document compliance findings; define remediation for gaps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Compliance Officer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Oct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Security Awareness &amp; 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Role-specific security training and phishing simulation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1 - Initial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3 - Managed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Annual compliance training only; no role-specific security training; no phishing simulations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Launch quarterly phishing simulations; develop role-specific training (loan officers, processors, IT); track completion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HR / IT Security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Sep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Access Control &amp; Governance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Quarterly access reviews and deprovisioning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1 - Initial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3 - Managed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 documented access review process; terminated employees sometimes retain access; no audit trail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Implement quarterly access reviews; define 24-hour deprovisioning SLA; document all access changes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Compliance Officer / 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Jul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Access Control &amp; Governance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Data retention and secure disposal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2 - Partial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3 - Managed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Basic shredding; no documented retention policy; no certificates of destruction for sensitive 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Document retention policy; require certificates of destruction; mandate cross-cut shredder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Compliance Officer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Aug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Compliance &amp; Documentation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Written Information Security Program (WISP)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0 - Absent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3 - Managed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 formal WISP document; safeguarding program ad hoc and undocumented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Draft GLBA-compliant WISP; include all required program elements; board approval and annual review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Compliance Officer / CISO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Aug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Compliance &amp; Documentation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Annual risk assessment and board approval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1 - Initial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C6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3 - Managed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 formal annual risk assessment; no documented board review; assessments not linked to program updates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Conduct annual comprehensive risk assessment; document findings; present to board for approval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CISO / Compliance Officer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Aug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Medium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240"/>
      </w:pPr>
      <w:r>
        <w:t xml:space="preserve">Implementation Roadmap</w:t>
      </w:r>
    </w:p>
    <w:p>
      <w:pPr>
        <w:pStyle w:val="Heading2"/>
        <w:spacing w:after="100" w:before="120"/>
      </w:pPr>
      <w:r>
        <w:t xml:space="preserve">Phase 1: Critical Foundation (Months 0–3)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Designate CISO and ratify Written Information Security Program (WISP)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Implement quarterly access reviews and 24-hour deprovisioning SLA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Enable MFA on LOS, CRM, and email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Draft and test Incident Response Plan</w:t>
      </w:r>
    </w:p>
    <w:p>
      <w:pPr>
        <w:pStyle w:val="Heading2"/>
        <w:spacing w:after="100" w:before="120"/>
      </w:pPr>
      <w:r>
        <w:t xml:space="preserve">Phase 2: Detection &amp; Monitoring (Months 3–6)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Deploy SIEM (Wazuh or Splunk) with centralized log aggregation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Implement endpoint full-disk encryption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Launch phishing simulations and role-specific security training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Implement vulnerability scanning and patch management process</w:t>
      </w:r>
    </w:p>
    <w:p>
      <w:pPr>
        <w:pStyle w:val="Heading2"/>
        <w:spacing w:after="100" w:before="120"/>
      </w:pPr>
      <w:r>
        <w:t xml:space="preserve">Phase 3: Advanced Controls (Months 6–12)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Implement Privileged Access Management (PAM) solution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Deploy network segmentation and IDS/IPS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Implement 3-2-1 backup strategy and Business Continuity Plan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Commission annual penetration test and security assessment</w:t>
      </w:r>
    </w:p>
    <w:p>
      <w:pPr>
        <w:pStyle w:val="Heading1"/>
        <w:spacing w:after="120" w:before="240"/>
      </w:pPr>
      <w:r>
        <w:t xml:space="preserve">Conclusion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This controls gap analysis provides Pinnacle with a clear, prioritized roadmap to achieve industry-standard security maturity. Implementation of these controls will significantly reduce regulatory risk, improve breach resilience, and position the organization as a security-conscious financial services provider.</w:t>
      </w:r>
    </w:p>
    <w:p>
      <w:pPr>
        <w:spacing w:after="0" w:before="240"/>
        <w:jc w:val="right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Prepared by Marcus Albright, GRC Risk Analyst | June 2026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2026-06-05T17:02:11.376Z</dcterms:created>
  <dcterms:modified xsi:type="dcterms:W3CDTF">2026-06-05T17:02:11.396Z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