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PINNACLE LENDING SOLUTIONS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Third-Party Vendor Risk Assessment — COMPLETED SAMPLE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Vendor: Cornerstone Title &amp; Escrow, LLC  |  Assessment Date: June 2026  |  Assessor: Marcus Albright, GRC Risk Analyst</w:t>
      </w:r>
    </w:p>
    <w:p>
      <w:pPr>
        <w:pStyle w:val="Heading1"/>
        <w:spacing w:after="120" w:before="0"/>
      </w:pPr>
      <w:r>
        <w:t xml:space="preserve">1. Vendor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Vendor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Cornerstone Title &amp; Escrow, LLC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Primary Contact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Sandra Reeves, VP of Operations  |  sreeves@cornerstonetitle.com  |  (615) 555-0182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Services Provided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Title searches, title insurance, escrow services, closing coordination, document notarization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Data Handled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☑ SSN  ☑ Financial Info  ☑ Banking Details  ☑ Property Info  ☐ Other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Years in Business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14 years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Annual Volume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Approximately 1,200 residential closings per year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Assessment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June 5,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Assessor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Marcus Albright, GRC Risk Analyst — Pinnacle Lending Solutions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120"/>
      </w:pPr>
      <w:r>
        <w:t xml:space="preserve">2. Security Controls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000"/>
        <w:gridCol w:w="24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Control Area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Concerns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Access Control: Multi-factor authentication on systems handling PII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a00"/>
                <w:sz w:val="15"/>
                <w:szCs w:val="15"/>
              </w:rPr>
              <w:t xml:space="preserve">3 /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MFA enabled on email and cloud storage; not yet enforced on legacy title search system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Legacy system gap — timeline for MFA rollout requested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Encryption: Data encrypted in transit (TLS/SSL) and at rest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1a"/>
                <w:sz w:val="15"/>
                <w:szCs w:val="15"/>
              </w:rPr>
              <w:t xml:space="preserve">4 /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TLS 1.2+ enforced on all web portals; AES-256 encryption on file servers confirmed by IT attestation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 — verify on next annual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Backup &amp; Recovery: Documented backup procedures with testing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a00"/>
                <w:sz w:val="15"/>
                <w:szCs w:val="15"/>
              </w:rPr>
              <w:t xml:space="preserve">3 /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Daily backups to offsite cloud; last restoration test conducted 14 months ago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Testing cadence below recommended quarterly standard — flag for conditional 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Incident Response: Documented plan for security breach response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1a"/>
                <w:sz w:val="15"/>
                <w:szCs w:val="15"/>
              </w:rPr>
              <w:t xml:space="preserve">4 /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IR plan provided; includes escalation matrix, breach notification procedure, and annual tabletop exercise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Access Logging: Logging of all access to customer/sensitive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a00"/>
                <w:sz w:val="15"/>
                <w:szCs w:val="15"/>
              </w:rPr>
              <w:t xml:space="preserve">3 /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Logging enabled on primary systems; centralized SIEM not in place — logs reviewed ad hoc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Recommend SIEM implementation or log aggregation — add to contract clause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Employee Training: Security awareness training for all staff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1a"/>
                <w:sz w:val="15"/>
                <w:szCs w:val="15"/>
              </w:rPr>
              <w:t xml:space="preserve">4 /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Quarterly phishing simulations and annual security awareness training; completion tracked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Data Retention: Written policy for retention and secure disposal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1a"/>
                <w:sz w:val="15"/>
                <w:szCs w:val="15"/>
              </w:rPr>
              <w:t xml:space="preserve">4 /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7-year retention policy documented; certificates of destruction provided for physical files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Vulnerability Management: Patch management and security updates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a00"/>
                <w:sz w:val="15"/>
                <w:szCs w:val="15"/>
              </w:rPr>
              <w:t xml:space="preserve">3 /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Monthly patching cycle documented; critical patches applied within 30 days; no formal scanner in use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Recommend deployment of vulnerability scanner — request next assessment update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Business Continuity: BCP with RTO/RPO and tested recovery procedures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a00"/>
                <w:sz w:val="15"/>
                <w:szCs w:val="15"/>
              </w:rPr>
              <w:t xml:space="preserve">3 /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BCP document provided; RTO defined as 72 hours; last full BCP test conducted 18 months ago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Testing cadence below standard — add annual BCP test requirement to contract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120"/>
      </w:pPr>
      <w:r>
        <w:t xml:space="preserve">3. Certifications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Current?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Expiration /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SOC 2 Type II Report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☑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Report dated Feb 2026; 12-month coverage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ISO/IEC 27001 Certification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☐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Not currently pursuing — noted as gap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PCI DSS 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Does not handle payment card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Cyber Liability Insurance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☑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$2M policy; certificate provided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E&amp;O (Errors &amp; Omissions) Insurance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☑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$1M policy; certificate provided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120"/>
      </w:pPr>
      <w:r>
        <w:t xml:space="preserve">4. Data Handling &amp;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Question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How long is customer data retained after transaction close?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Aligned to RESPA/GLBA requirements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How is data destroyed?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Cross-cut shredding + secure digital wipe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Certificates of destruction provided on request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Do you sub-contract data handling to other vendors?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☑ Yes — title search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DataSearch Pro LLC handles digital title searches; sub-processor agreement in place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Is customer data ever transferred outside the United States?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☐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Confirmed in writing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Breach or security incident in the past 3 years?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☐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Confirmed; no reportable incidents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Cyber liability insurance coverage amount?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☑ Yes — $2M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Certificate on file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120"/>
      </w:pPr>
      <w:r>
        <w:t xml:space="preserve">5. Risk Scoring &amp; Approval Decision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Average Security Controls Score (9 controls)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3.4 / 5.0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Certifications Score (SOC 2 Type II = 1pt, Cyber Insurance = 1pt)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2.0 / 3.0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OVERALL VENDOR RISK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E0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5.4 / 8.0 — MEDIUM RISK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120"/>
      </w:pPr>
      <w:r>
        <w:t xml:space="preserve">Approval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Final Decision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☑ Conditional Approval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Required Remediation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1. MFA required on legacy title system within 90 days
2. Annual BCP test required going forward
3. Backup restoration test required within 60 days
4. Sub-processor (DataSearch Pro) must execute DPA with Pinnacle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Contract Security Requirements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☑ Data Protection Clause  ☑ Breach Notification  ☑ Audit Rights  ☑ Insurance Requirement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Next Review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June 2027 (12 months)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120"/>
      </w:pPr>
      <w:r>
        <w:t xml:space="preserve">6. Sign-Off &amp;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Assessor — GRC Risk Analyst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Marcus Albright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June 5,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Compliance Officer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[Name]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[Date]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Operations Manager Approval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[Name]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[Date]</w:t>
            </w:r>
          </w:p>
        </w:tc>
      </w:tr>
    </w:tbl>
    <w:p>
      <w:pPr>
        <w:spacing w:after="0" w:before="240"/>
        <w:jc w:val="right"/>
      </w:pPr>
      <w:r>
        <w:rPr>
          <w:rFonts w:ascii="Arial" w:cs="Arial" w:eastAsia="Arial" w:hAnsi="Arial"/>
          <w:i/>
          <w:iCs/>
          <w:color w:val="888888"/>
          <w:sz w:val="14"/>
          <w:szCs w:val="14"/>
        </w:rPr>
        <w:t xml:space="preserve">Prepared by Marcus Albright, GRC Risk Analyst | Pinnacle Lending Solutions |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2026-06-05T22:07:39.027Z</dcterms:created>
  <dcterms:modified xsi:type="dcterms:W3CDTF">2026-06-05T22:07:39.038Z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