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700" w:after="160" w:line="330" w:lineRule="auto"/>
      </w:pPr>
      <w:r>
        <w:rPr>
          <w:rFonts w:ascii="Aptos" w:hAnsi="Aptos" w:eastAsia="Microsoft YaHei"/>
          <w:b/>
          <w:color w:val="38709F"/>
          <w:sz w:val="26"/>
          <w:szCs w:val="26"/>
        </w:rPr>
        <w:t xml:space="preserve">CR60 LIGHT BYD</w:t>
      </w:r>
    </w:p>
    <w:p>
      <w:pPr>
        <w:pStyle w:val="Title"/>
        <w:spacing w:after="100" w:line="330" w:lineRule="auto"/>
      </w:pPr>
      <w:r>
        <w:rPr>
          <w:rFonts w:ascii="Aptos" w:hAnsi="Aptos" w:eastAsia="Microsoft YaHei"/>
        </w:rPr>
        <w:t xml:space="preserve">BOOTLOADER（BM + PBL）</w:t>
      </w:r>
    </w:p>
    <w:p>
      <w:pPr>
        <w:pStyle w:val="Subtitle"/>
        <w:spacing w:after="220" w:line="330" w:lineRule="auto"/>
      </w:pPr>
      <w:r>
        <w:rPr>
          <w:rFonts w:ascii="Aptos" w:hAnsi="Aptos" w:eastAsia="Microsoft YaHei"/>
        </w:rPr>
        <w:t xml:space="preserve">供应商总体架构与设计要求</w:t>
      </w:r>
    </w:p>
    <w:p>
      <w:pPr>
        <w:jc w:val="center"/>
        <w:spacing w:before="100" w:after="180" w:line="330" w:lineRule="auto"/>
      </w:pPr>
      <w:r>
        <w:rPr>
          <w:rFonts w:ascii="Aptos" w:hAnsi="Aptos" w:eastAsia="Microsoft YaHei"/>
          <w:b/>
          <w:color w:val="FFFFFF"/>
          <w:sz w:val="28"/>
          <w:szCs w:val="28"/>
        </w:rPr>
        <w:t xml:space="preserve">总体设计版</w:t>
      </w:r>
    </w:p>
    <w:tbl>
      <w:tblPr>
        <w:tblW w:w="10000" w:type="dxa"/>
        <w:tblLayout w:type="fixed"/>
        <w:tblBorders>
          <w:top w:val="single" w:sz="6" w:color="1A2E44"/>
          <w:left w:val="single" w:sz="6" w:color="1A2E44"/>
          <w:bottom w:val="single" w:sz="6" w:color="1A2E44"/>
          <w:right w:val="single" w:sz="6" w:color="1A2E44"/>
          <w:insideH w:val="single" w:sz="4" w:color="1A2E44"/>
          <w:insideV w:val="single" w:sz="4" w:color="1A2E44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0000"/>
      </w:tblGrid>
      <w:tr>
        <w:tc>
          <w:tcPr>
            <w:tcW w:w="100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FFFFFF"/>
                <w:sz w:val="26"/>
                <w:szCs w:val="26"/>
              </w:rPr>
              <w:t xml:space="preserve">用于供应商方案设计、开发启动与接口冻结</w:t>
            </w:r>
          </w:p>
        </w:tc>
      </w:tr>
    </w:tbl>
    <w:p>
      <w:pPr>
        <w:spacing w:after="30" w:line="180" w:lineRule="auto"/>
      </w:pPr>
      <w:r>
        <w:rPr>
          <w:rFonts w:ascii="Aptos" w:hAnsi="Aptos" w:eastAsia="Microsoft YaHei"/>
        </w:rPr>
        <w:t xml:space="preserve"/>
      </w:r>
    </w:p>
    <w:p>
      <w:pPr>
        <w:spacing w:before="560" w:after="20" w:line="180" w:lineRule="auto"/>
      </w:pPr>
      <w:r>
        <w:rPr>
          <w:rFonts w:ascii="Aptos" w:hAnsi="Aptos" w:eastAsia="Microsoft YaHei"/>
        </w:rPr>
        <w:t xml:space="preserve"/>
      </w:r>
    </w:p>
    <w:tbl>
      <w:tblPr>
        <w:tblW w:w="10000" w:type="dxa"/>
        <w:tblLayout w:type="fixed"/>
        <w:tblBorders>
          <w:top w:val="single" w:sz="6" w:color="CBD3D9"/>
          <w:left w:val="single" w:sz="6" w:color="CBD3D9"/>
          <w:bottom w:val="single" w:sz="6" w:color="CBD3D9"/>
          <w:right w:val="single" w:sz="6" w:color="CBD3D9"/>
          <w:insideH w:val="single" w:sz="4" w:color="CBD3D9"/>
          <w:insideV w:val="single" w:sz="4" w:color="CBD3D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700"/>
        <w:gridCol w:w="7300"/>
      </w:tblGrid>
      <w:tr>
        <w:tc>
          <w:tcPr>
            <w:tcW w:w="2700" w:type="dxa"/>
            <w:shd w:fill="EAF2F8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20"/>
                <w:szCs w:val="20"/>
              </w:rPr>
              <w:t xml:space="preserve">文档版本</w:t>
            </w:r>
          </w:p>
        </w:tc>
        <w:tc>
          <w:tcPr>
            <w:tcW w:w="7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w="2700" w:type="dxa"/>
            <w:shd w:fill="EAF2F8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20"/>
                <w:szCs w:val="20"/>
              </w:rPr>
              <w:t xml:space="preserve">编制日期</w:t>
            </w:r>
          </w:p>
        </w:tc>
        <w:tc>
          <w:tcPr>
            <w:tcW w:w="7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20"/>
                <w:szCs w:val="20"/>
              </w:rPr>
              <w:t xml:space="preserve">2026-07-20</w:t>
            </w:r>
          </w:p>
        </w:tc>
      </w:tr>
      <w:tr>
        <w:tc>
          <w:tcPr>
            <w:tcW w:w="2700" w:type="dxa"/>
            <w:shd w:fill="EAF2F8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20"/>
                <w:szCs w:val="20"/>
              </w:rPr>
              <w:t xml:space="preserve">详细设计基线</w:t>
            </w:r>
          </w:p>
        </w:tc>
        <w:tc>
          <w:tcPr>
            <w:tcW w:w="7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20"/>
                <w:szCs w:val="20"/>
              </w:rPr>
              <w:t xml:space="preserve">Bootloader_BM_PBL_Detailed_Design_and_Technical_Requirements.md V3.1</w:t>
            </w:r>
          </w:p>
        </w:tc>
      </w:tr>
      <w:tr>
        <w:tc>
          <w:tcPr>
            <w:tcW w:w="2700" w:type="dxa"/>
            <w:shd w:fill="EAF2F8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20"/>
                <w:szCs w:val="20"/>
              </w:rPr>
              <w:t xml:space="preserve">适用对象</w:t>
            </w:r>
          </w:p>
        </w:tc>
        <w:tc>
          <w:tcPr>
            <w:tcW w:w="7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20"/>
                <w:szCs w:val="20"/>
              </w:rPr>
              <w:t xml:space="preserve">BM / PBL 软件供应商、系统工程、测试与安全评审人员</w:t>
            </w:r>
          </w:p>
        </w:tc>
      </w:tr>
      <w:tr>
        <w:tc>
          <w:tcPr>
            <w:tcW w:w="2700" w:type="dxa"/>
            <w:shd w:fill="EAF2F8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20"/>
                <w:szCs w:val="20"/>
              </w:rPr>
              <w:t xml:space="preserve">资料等级</w:t>
            </w:r>
          </w:p>
        </w:tc>
        <w:tc>
          <w:tcPr>
            <w:tcW w:w="7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20"/>
                <w:szCs w:val="20"/>
              </w:rPr>
              <w:t xml:space="preserve">内部/供应商受控资料</w:t>
            </w:r>
          </w:p>
        </w:tc>
      </w:tr>
    </w:tbl>
    <w:p>
      <w:pPr>
        <w:spacing w:after="30" w:line="180" w:lineRule="auto"/>
      </w:pPr>
      <w:r>
        <w:rPr>
          <w:rFonts w:ascii="Aptos" w:hAnsi="Aptos" w:eastAsia="Microsoft YaHei"/>
        </w:rPr>
        <w:t xml:space="preserve"/>
      </w:r>
    </w:p>
    <w:p>
      <w:pPr>
        <w:jc w:val="center"/>
        <w:spacing w:before="160" w:after="120" w:line="330" w:lineRule="auto"/>
      </w:pPr>
      <w:r>
        <w:rPr>
          <w:rFonts w:ascii="Aptos" w:hAnsi="Aptos" w:eastAsia="Microsoft YaHei"/>
          <w:i/>
          <w:color w:val="B24849"/>
          <w:sz w:val="20"/>
          <w:szCs w:val="20"/>
        </w:rPr>
        <w:t xml:space="preserve">本文件是总体设计输入，不替代详细设计、诊断规范、镜像格式规范、HSM 配置和目标板验证。</w:t>
      </w:r>
    </w:p>
    <w:p>
      <w:r>
        <w:br w:type="page"/>
      </w:r>
    </w:p>
    <w:p>
      <w:pPr>
        <w:pStyle w:val="Heading1"/>
        <w:keepNext/>
        <w:spacing w:after="140" w:line="330" w:lineRule="auto"/>
      </w:pPr>
      <w:r>
        <w:rPr>
          <w:rFonts w:ascii="Aptos" w:hAnsi="Aptos" w:eastAsia="Microsoft YaHei"/>
        </w:rPr>
        <w:t xml:space="preserve">文档控制</w:t>
      </w:r>
    </w:p>
    <w:p>
      <w:pPr>
        <w:pStyle w:val="Heading2"/>
        <w:keepNext/>
        <w:spacing w:after="140" w:line="330" w:lineRule="auto"/>
      </w:pPr>
      <w:r>
        <w:rPr>
          <w:rFonts w:ascii="Aptos" w:hAnsi="Aptos" w:eastAsia="Microsoft YaHei"/>
        </w:rPr>
        <w:t xml:space="preserve">修订记录</w:t>
      </w:r>
    </w:p>
    <w:tbl>
      <w:tblPr>
        <w:tblW w:w="10000" w:type="dxa"/>
        <w:tblLayout w:type="fixed"/>
        <w:tblBorders>
          <w:top w:val="single" w:sz="6" w:color="CBD3D9"/>
          <w:left w:val="single" w:sz="6" w:color="CBD3D9"/>
          <w:bottom w:val="single" w:sz="6" w:color="CBD3D9"/>
          <w:right w:val="single" w:sz="6" w:color="CBD3D9"/>
          <w:insideH w:val="single" w:sz="4" w:color="CBD3D9"/>
          <w:insideV w:val="single" w:sz="4" w:color="CBD3D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200"/>
        <w:gridCol w:w="1600"/>
        <w:gridCol w:w="5700"/>
        <w:gridCol w:w="1500"/>
      </w:tblGrid>
      <w:tr>
        <w:trPr>
          <w:tblHeader/>
        </w:trPr>
        <w:tc>
          <w:tcPr>
            <w:tcW w:w="12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w="16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w="57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修改内容</w:t>
            </w:r>
          </w:p>
        </w:tc>
        <w:tc>
          <w:tcPr>
            <w:tcW w:w="15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w="12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V1.0</w:t>
            </w:r>
          </w:p>
        </w:tc>
        <w:tc>
          <w:tcPr>
            <w:tcW w:w="16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2026-07-20</w:t>
            </w:r>
          </w:p>
        </w:tc>
        <w:tc>
          <w:tcPr>
            <w:tcW w:w="57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从 V3.1 详细逆向设计中提炼总体架构、设计流程、功能块、内存布局和供应商最低要求。</w:t>
            </w:r>
          </w:p>
        </w:tc>
        <w:tc>
          <w:tcPr>
            <w:tcW w:w="1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初版</w:t>
            </w:r>
          </w:p>
        </w:tc>
      </w:tr>
    </w:tbl>
    <w:p>
      <w:pPr>
        <w:spacing w:after="30" w:line="180" w:lineRule="auto"/>
      </w:pPr>
      <w:r>
        <w:rPr>
          <w:rFonts w:ascii="Aptos" w:hAnsi="Aptos" w:eastAsia="Microsoft YaHei"/>
        </w:rPr>
        <w:t xml:space="preserve"/>
      </w:r>
    </w:p>
    <w:p>
      <w:pPr>
        <w:pStyle w:val="Heading2"/>
        <w:keepNext/>
        <w:spacing w:after="140" w:line="330" w:lineRule="auto"/>
      </w:pPr>
      <w:r>
        <w:rPr>
          <w:rFonts w:ascii="Aptos" w:hAnsi="Aptos" w:eastAsia="Microsoft YaHei"/>
        </w:rPr>
        <w:t xml:space="preserve">分析基线</w:t>
      </w:r>
    </w:p>
    <w:tbl>
      <w:tblPr>
        <w:tblW w:w="10000" w:type="dxa"/>
        <w:tblLayout w:type="fixed"/>
        <w:tblBorders>
          <w:top w:val="single" w:sz="6" w:color="CBD3D9"/>
          <w:left w:val="single" w:sz="6" w:color="CBD3D9"/>
          <w:bottom w:val="single" w:sz="6" w:color="CBD3D9"/>
          <w:right w:val="single" w:sz="6" w:color="CBD3D9"/>
          <w:insideH w:val="single" w:sz="4" w:color="CBD3D9"/>
          <w:insideV w:val="single" w:sz="4" w:color="CBD3D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800"/>
        <w:gridCol w:w="7200"/>
      </w:tblGrid>
      <w:tr>
        <w:trPr>
          <w:tblHeader/>
        </w:trPr>
        <w:tc>
          <w:tcPr>
            <w:tcW w:w="28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基线项</w:t>
            </w:r>
          </w:p>
        </w:tc>
        <w:tc>
          <w:tcPr>
            <w:tcW w:w="72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SHA-256 / 说明</w:t>
            </w:r>
          </w:p>
        </w:tc>
      </w:tr>
      <w:tr>
        <w:tc>
          <w:tcPr>
            <w:tcW w:w="28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D_CR60_Light_BM.elf</w:t>
            </w:r>
          </w:p>
        </w:tc>
        <w:tc>
          <w:tcPr>
            <w:tcW w:w="72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CB02B2FCD702BE6A2F6999F56202E0B58EC15BC2689EF3AE3FE497054624E5C3</w:t>
            </w:r>
          </w:p>
        </w:tc>
      </w:tr>
      <w:tr>
        <w:tc>
          <w:tcPr>
            <w:tcW w:w="28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D_CR60_Light_PBL.elf</w:t>
            </w:r>
          </w:p>
        </w:tc>
        <w:tc>
          <w:tcPr>
            <w:tcW w:w="72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BB8FDA704106300380FC4916807B089E21AFD1CFF97A817629F745B3B69DE300</w:t>
            </w:r>
          </w:p>
        </w:tc>
      </w:tr>
      <w:tr>
        <w:tc>
          <w:tcPr>
            <w:tcW w:w="28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详细设计 Markdown</w:t>
            </w:r>
          </w:p>
        </w:tc>
        <w:tc>
          <w:tcPr>
            <w:tcW w:w="72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2D1B6F0055FB9257F99D8390D8E0793739206572C36A3C5E5194C01521AEE1A2</w:t>
            </w:r>
          </w:p>
        </w:tc>
      </w:tr>
      <w:tr>
        <w:tc>
          <w:tcPr>
            <w:tcW w:w="28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静态证据目录</w:t>
            </w:r>
          </w:p>
        </w:tc>
        <w:tc>
          <w:tcPr>
            <w:tcW w:w="72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BM_PBL_Reverse_Engineering_Evidence/</w:t>
            </w:r>
          </w:p>
        </w:tc>
      </w:tr>
    </w:tbl>
    <w:p>
      <w:pPr>
        <w:spacing w:after="30" w:line="180" w:lineRule="auto"/>
      </w:pPr>
      <w:r>
        <w:rPr>
          <w:rFonts w:ascii="Aptos" w:hAnsi="Aptos" w:eastAsia="Microsoft YaHei"/>
        </w:rPr>
        <w:t xml:space="preserve"/>
      </w:r>
    </w:p>
    <w:tbl>
      <w:tblPr>
        <w:tblW w:w="10000" w:type="dxa"/>
        <w:tblLayout w:type="fixed"/>
        <w:tblBorders>
          <w:top w:val="single" w:sz="6" w:color="DA8735"/>
          <w:left w:val="single" w:sz="6" w:color="DA8735"/>
          <w:bottom w:val="single" w:sz="6" w:color="DA8735"/>
          <w:right w:val="single" w:sz="6" w:color="DA8735"/>
          <w:insideH w:val="single" w:sz="4" w:color="DA8735"/>
          <w:insideV w:val="single" w:sz="4" w:color="DA8735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0000"/>
      </w:tblGrid>
      <w:tr>
        <w:tc>
          <w:tcPr>
            <w:tcW w:w="10000" w:type="dxa"/>
            <w:shd w:fill="FCF2E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26323B"/>
                <w:sz w:val="18"/>
                <w:szCs w:val="18"/>
              </w:rPr>
              <w:t xml:space="preserve">使用边界</w:t>
            </w:r>
          </w:p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本文将当前 ELF 能直接确认的高层行为作为兼容基线，同时将供应商必须补充的安全增强写为技术要求。仅凭本总体设计可以开展架构和方案设计，但不足以宣称实现与当前 ELF 完全等效；编码前必须冻结第 9 节接口，并以详细设计及差分测试为准。</w:t>
            </w:r>
          </w:p>
        </w:tc>
      </w:tr>
    </w:tbl>
    <w:p>
      <w:pPr>
        <w:spacing w:after="30" w:line="180" w:lineRule="auto"/>
      </w:pPr>
      <w:r>
        <w:rPr>
          <w:rFonts w:ascii="Aptos" w:hAnsi="Aptos" w:eastAsia="Microsoft YaHei"/>
        </w:rPr>
        <w:t xml:space="preserve"/>
      </w:r>
    </w:p>
    <w:p>
      <w:pPr>
        <w:spacing w:after="40" w:line="200" w:lineRule="auto"/>
      </w:pPr>
      <w:r>
        <w:rPr>
          <w:rFonts w:ascii="Aptos" w:hAnsi="Aptos" w:eastAsia="Microsoft YaHei"/>
        </w:rPr>
        <w:t xml:space="preserve"/>
      </w:r>
    </w:p>
    <w:p>
      <w:r>
        <w:br w:type="page"/>
      </w:r>
    </w:p>
    <w:p>
      <w:pPr>
        <w:pStyle w:val="TOCHeading"/>
        <w:spacing w:after="160"/>
      </w:pPr>
      <w:r>
        <w:t>目录</w:t>
      </w:r>
    </w:p>
    <w:p>
      <w:pPr>
        <w:spacing w:after="8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打开 Word 后选择目录并更新域。</w:t>
      </w:r>
      <w:r>
        <w:fldChar w:fldCharType="end"/>
      </w:r>
    </w:p>
    <w:p>
      <w:r>
        <w:br w:type="page"/>
      </w:r>
    </w:p>
    <w:p>
      <w:pPr>
        <w:pStyle w:val="Heading1"/>
        <w:keepNext/>
        <w:spacing w:after="140" w:line="330" w:lineRule="auto"/>
      </w:pPr>
      <w:r>
        <w:rPr>
          <w:rFonts w:ascii="Aptos" w:hAnsi="Aptos" w:eastAsia="Microsoft YaHei"/>
        </w:rPr>
        <w:t xml:space="preserve">1. 文档目的与范围</w:t>
      </w:r>
    </w:p>
    <w:p>
      <w:pPr>
        <w:spacing w:after="120" w:line="330" w:lineRule="auto"/>
      </w:pPr>
      <w:r>
        <w:rPr>
          <w:rFonts w:ascii="Aptos" w:hAnsi="Aptos" w:eastAsia="Microsoft YaHei"/>
        </w:rPr>
        <w:t xml:space="preserve">本文向供应商定义 CR60 Light BYD Bootloader 的总体架构与主要设计约束。Bootloader 由 Boot Manager（BM）和 Platform/Primary Bootloader（PBL）组成，并与现有 FBL、CustApp、ProductionApp、HSM、安全数据和 NvM/Fee 协同工作。</w:t>
      </w:r>
    </w:p>
    <w:p>
      <w:pPr>
        <w:pStyle w:val="Heading2"/>
        <w:keepNext/>
        <w:spacing w:after="140" w:line="330" w:lineRule="auto"/>
      </w:pPr>
      <w:r>
        <w:rPr>
          <w:rFonts w:ascii="Aptos" w:hAnsi="Aptos" w:eastAsia="Microsoft YaHei"/>
        </w:rPr>
        <w:t xml:space="preserve">1.1 本文覆盖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BM、PBL 的职责边界和总体软件分层。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BM 的启动目标、选择优先级、生命周期门和交接方式。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PBL 的 UDS 升级主流程、Flash/NvM 提交原则和地址保护边界。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4 MiB 外部 Flash 分区、共享状态和关键外部接口。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供应商开发的最低技术要求、交付物和验收框架。</w:t>
      </w:r>
    </w:p>
    <w:p>
      <w:pPr>
        <w:pStyle w:val="Heading2"/>
        <w:keepNext/>
        <w:spacing w:after="140" w:line="330" w:lineRule="auto"/>
      </w:pPr>
      <w:r>
        <w:rPr>
          <w:rFonts w:ascii="Aptos" w:hAnsi="Aptos" w:eastAsia="Microsoft YaHei"/>
        </w:rPr>
        <w:t xml:space="preserve">1.2 本文暂不展开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每个函数、结构体、局部状态码和反汇编指令级实现。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完整 UDS 服务矩阵、NRC、P2/P2*/S3 时序和 SecurityAccess 算法。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安全容器每个字段、签名覆盖范围、HSM key slot 和证书内容。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芯片 Flash 物理扇区几何、Fee 逻辑块映射和所有掉电时序点。</w:t>
      </w:r>
    </w:p>
    <w:tbl>
      <w:tblPr>
        <w:tblW w:w="10000" w:type="dxa"/>
        <w:tblLayout w:type="fixed"/>
        <w:tblBorders>
          <w:top w:val="single" w:sz="6" w:color="38709F"/>
          <w:left w:val="single" w:sz="6" w:color="38709F"/>
          <w:bottom w:val="single" w:sz="6" w:color="38709F"/>
          <w:right w:val="single" w:sz="6" w:color="38709F"/>
          <w:insideH w:val="single" w:sz="4" w:color="38709F"/>
          <w:insideV w:val="single" w:sz="4" w:color="38709F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0000"/>
      </w:tblGrid>
      <w:tr>
        <w:tc>
          <w:tcPr>
            <w:tcW w:w="10000" w:type="dxa"/>
            <w:shd w:fill="EAF2F8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26323B"/>
                <w:sz w:val="18"/>
                <w:szCs w:val="18"/>
              </w:rPr>
              <w:t xml:space="preserve">配套详细资料</w:t>
            </w:r>
          </w:p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上述内容由 V3.1 详细设计文档、ELF 证据包、ODX/PDX、镜像格式规范、Flash/HSM 数据手册和目标板测试共同冻结。</w:t>
            </w:r>
          </w:p>
        </w:tc>
      </w:tr>
    </w:tbl>
    <w:p>
      <w:pPr>
        <w:spacing w:after="30" w:line="180" w:lineRule="auto"/>
      </w:pPr>
      <w:r>
        <w:rPr>
          <w:rFonts w:ascii="Aptos" w:hAnsi="Aptos" w:eastAsia="Microsoft YaHei"/>
        </w:rPr>
        <w:t xml:space="preserve"/>
      </w:r>
    </w:p>
    <w:p>
      <w:pPr>
        <w:spacing w:after="40" w:line="200" w:lineRule="auto"/>
      </w:pPr>
      <w:r>
        <w:rPr>
          <w:rFonts w:ascii="Aptos" w:hAnsi="Aptos" w:eastAsia="Microsoft YaHei"/>
        </w:rPr>
        <w:t xml:space="preserve"/>
      </w:r>
    </w:p>
    <w:p>
      <w:pPr>
        <w:pStyle w:val="Heading1"/>
        <w:keepNext/>
        <w:pageBreakBefore/>
        <w:spacing w:after="140" w:line="330" w:lineRule="auto"/>
      </w:pPr>
      <w:r>
        <w:rPr>
          <w:rFonts w:ascii="Aptos" w:hAnsi="Aptos" w:eastAsia="Microsoft YaHei"/>
        </w:rPr>
        <w:t xml:space="preserve">2. 系统上下文与术语</w:t>
      </w:r>
    </w:p>
    <w:tbl>
      <w:tblPr>
        <w:tblW w:w="10000" w:type="dxa"/>
        <w:tblLayout w:type="fixed"/>
        <w:tblBorders>
          <w:top w:val="single" w:sz="6" w:color="CBD3D9"/>
          <w:left w:val="single" w:sz="6" w:color="CBD3D9"/>
          <w:bottom w:val="single" w:sz="6" w:color="CBD3D9"/>
          <w:right w:val="single" w:sz="6" w:color="CBD3D9"/>
          <w:insideH w:val="single" w:sz="4" w:color="CBD3D9"/>
          <w:insideV w:val="single" w:sz="4" w:color="CBD3D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800"/>
        <w:gridCol w:w="4300"/>
        <w:gridCol w:w="3900"/>
      </w:tblGrid>
      <w:tr>
        <w:trPr>
          <w:tblHeader/>
        </w:trPr>
        <w:tc>
          <w:tcPr>
            <w:tcW w:w="18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术语</w:t>
            </w:r>
          </w:p>
        </w:tc>
        <w:tc>
          <w:tcPr>
            <w:tcW w:w="43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含义</w:t>
            </w:r>
          </w:p>
        </w:tc>
        <w:tc>
          <w:tcPr>
            <w:tcW w:w="39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当前固定地址 / 说明</w:t>
            </w:r>
          </w:p>
        </w:tc>
      </w:tr>
      <w:tr>
        <w:tc>
          <w:tcPr>
            <w:tcW w:w="18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BM</w:t>
            </w:r>
          </w:p>
        </w:tc>
        <w:tc>
          <w:tcPr>
            <w:tcW w:w="4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Boot Manager，启动决策与安全交接模块</w:t>
            </w:r>
          </w:p>
        </w:tc>
        <w:tc>
          <w:tcPr>
            <w:tcW w:w="39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入口 0x00020000；运行代码主要位于内部 RAM 映射</w:t>
            </w:r>
          </w:p>
        </w:tc>
      </w:tr>
      <w:tr>
        <w:tc>
          <w:tcPr>
            <w:tcW w:w="18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PBL / pfboot</w:t>
            </w:r>
          </w:p>
        </w:tc>
        <w:tc>
          <w:tcPr>
            <w:tcW w:w="43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Platform/Primary Bootloader，UDS/OTA 刷写执行模块</w:t>
            </w:r>
          </w:p>
        </w:tc>
        <w:tc>
          <w:tcPr>
            <w:tcW w:w="39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外部 Flash 0x020000</w:t>
            </w:r>
          </w:p>
        </w:tc>
      </w:tr>
      <w:tr>
        <w:tc>
          <w:tcPr>
            <w:tcW w:w="18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FBL / custboot</w:t>
            </w:r>
          </w:p>
        </w:tc>
        <w:tc>
          <w:tcPr>
            <w:tcW w:w="4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客户/功能 Bootloader</w:t>
            </w:r>
          </w:p>
        </w:tc>
        <w:tc>
          <w:tcPr>
            <w:tcW w:w="39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外部 Flash 0x050000</w:t>
            </w:r>
          </w:p>
        </w:tc>
      </w:tr>
      <w:tr>
        <w:tc>
          <w:tcPr>
            <w:tcW w:w="18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CustApp</w:t>
            </w:r>
          </w:p>
        </w:tc>
        <w:tc>
          <w:tcPr>
            <w:tcW w:w="43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客户应用镜像</w:t>
            </w:r>
          </w:p>
        </w:tc>
        <w:tc>
          <w:tcPr>
            <w:tcW w:w="39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外部 Flash 0x090000</w:t>
            </w:r>
          </w:p>
        </w:tc>
      </w:tr>
      <w:tr>
        <w:tc>
          <w:tcPr>
            <w:tcW w:w="18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ProductionApp</w:t>
            </w:r>
          </w:p>
        </w:tc>
        <w:tc>
          <w:tcPr>
            <w:tcW w:w="4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量产应用镜像</w:t>
            </w:r>
          </w:p>
        </w:tc>
        <w:tc>
          <w:tcPr>
            <w:tcW w:w="39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外部 Flash 0x190000</w:t>
            </w:r>
          </w:p>
        </w:tc>
      </w:tr>
      <w:tr>
        <w:tc>
          <w:tcPr>
            <w:tcW w:w="18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ImageM</w:t>
            </w:r>
          </w:p>
        </w:tc>
        <w:tc>
          <w:tcPr>
            <w:tcW w:w="43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镜像下载上下文、白名单、校验与状态管理</w:t>
            </w:r>
          </w:p>
        </w:tc>
        <w:tc>
          <w:tcPr>
            <w:tcW w:w="39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PBL 核心抽象</w:t>
            </w:r>
          </w:p>
        </w:tc>
      </w:tr>
      <w:tr>
        <w:tc>
          <w:tcPr>
            <w:tcW w:w="18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Fee/NvM</w:t>
            </w:r>
          </w:p>
        </w:tc>
        <w:tc>
          <w:tcPr>
            <w:tcW w:w="4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非易失逻辑块与物理 bank 管理</w:t>
            </w:r>
          </w:p>
        </w:tc>
        <w:tc>
          <w:tcPr>
            <w:tcW w:w="39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Fee banks: 0x350000-0x3D0000</w:t>
            </w:r>
          </w:p>
        </w:tc>
      </w:tr>
      <w:tr>
        <w:tc>
          <w:tcPr>
            <w:tcW w:w="18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HSSE/HSM</w:t>
            </w:r>
          </w:p>
        </w:tc>
        <w:tc>
          <w:tcPr>
            <w:tcW w:w="43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硬件安全模块与量产安全设备类型</w:t>
            </w:r>
          </w:p>
        </w:tc>
        <w:tc>
          <w:tcPr>
            <w:tcW w:w="39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生命周期、Hash、签名、解密与 key 管理</w:t>
            </w:r>
          </w:p>
        </w:tc>
      </w:tr>
    </w:tbl>
    <w:p>
      <w:pPr>
        <w:spacing w:after="30" w:line="180" w:lineRule="auto"/>
      </w:pPr>
      <w:r>
        <w:rPr>
          <w:rFonts w:ascii="Aptos" w:hAnsi="Aptos" w:eastAsia="Microsoft YaHei"/>
        </w:rPr>
        <w:t xml:space="preserve"/>
      </w:r>
    </w:p>
    <w:p>
      <w:pPr>
        <w:jc w:val="center"/>
        <w:spacing w:before="80" w:after="80"/>
      </w:pPr>
      <w:r>
        <w:drawing>
          <wp:inline distT="0" distB="0" distL="0" distR="0">
            <wp:extent cx="6192000" cy="3852800"/>
            <wp:effectExtent l="0" t="0" r="0" b="0"/>
            <wp:docPr id="1" name="overall_architecture" descr="图 1  BM + PBL 总体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8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60" w:line="260" w:lineRule="auto"/>
      </w:pPr>
      <w:r>
        <w:rPr>
          <w:rFonts w:ascii="Aptos" w:hAnsi="Aptos" w:eastAsia="Microsoft YaHei"/>
          <w:color w:val="5B6770"/>
          <w:sz w:val="18"/>
          <w:szCs w:val="18"/>
        </w:rPr>
        <w:t xml:space="preserve">图 1  BM + PBL 总体架构</w:t>
      </w:r>
    </w:p>
    <w:p>
      <w:pPr>
        <w:spacing w:after="120" w:line="330" w:lineRule="auto"/>
      </w:pPr>
      <w:r>
        <w:rPr>
          <w:rFonts w:ascii="Aptos" w:hAnsi="Aptos" w:eastAsia="Microsoft YaHei"/>
        </w:rPr>
        <w:t xml:space="preserve">系统包含两条核心控制链：</w:t>
      </w:r>
    </w:p>
    <w:p>
      <w:pPr>
        <w:spacing w:after="80" w:line="310" w:lineRule="auto"/>
      </w:pPr>
      <w:r>
        <w:rPr>
          <w:rFonts w:ascii="Aptos" w:hAnsi="Aptos" w:eastAsia="Microsoft YaHei"/>
          <w:b/>
          <w:color w:val="38709F"/>
        </w:rPr>
        <w:t xml:space="preserve">A.  </w:t>
      </w:r>
      <w:r>
        <w:rPr>
          <w:rFonts w:ascii="Aptos" w:hAnsi="Aptos" w:eastAsia="Microsoft YaHei"/>
        </w:rPr>
        <w:t xml:space="preserve">启动控制链：复位进入 BM，BM 获取持久状态和安全状态，选择目标镜像，完成验证、加载和交接。</w:t>
      </w:r>
    </w:p>
    <w:p>
      <w:pPr>
        <w:spacing w:after="80" w:line="310" w:lineRule="auto"/>
      </w:pPr>
      <w:r>
        <w:rPr>
          <w:rFonts w:ascii="Aptos" w:hAnsi="Aptos" w:eastAsia="Microsoft YaHei"/>
          <w:b/>
          <w:color w:val="38709F"/>
        </w:rPr>
        <w:t xml:space="preserve">B.  </w:t>
      </w:r>
      <w:r>
        <w:rPr>
          <w:rFonts w:ascii="Aptos" w:hAnsi="Aptos" w:eastAsia="Microsoft YaHei"/>
        </w:rPr>
        <w:t xml:space="preserve">升级执行链：诊断请求进入 PBL，PBL 通过白名单、异步 Flash job 和校验状态机完成镜像更新，最后提交 valid 状态。</w:t>
      </w:r>
    </w:p>
    <w:p>
      <w:pPr>
        <w:pStyle w:val="Heading1"/>
        <w:keepNext/>
        <w:pageBreakBefore/>
        <w:spacing w:after="140" w:line="330" w:lineRule="auto"/>
      </w:pPr>
      <w:r>
        <w:rPr>
          <w:rFonts w:ascii="Aptos" w:hAnsi="Aptos" w:eastAsia="Microsoft YaHei"/>
        </w:rPr>
        <w:t xml:space="preserve">3. 总体设计原则</w:t>
      </w:r>
    </w:p>
    <w:tbl>
      <w:tblPr>
        <w:tblW w:w="10000" w:type="dxa"/>
        <w:tblLayout w:type="fixed"/>
        <w:tblBorders>
          <w:top w:val="single" w:sz="6" w:color="CBD3D9"/>
          <w:left w:val="single" w:sz="6" w:color="CBD3D9"/>
          <w:bottom w:val="single" w:sz="6" w:color="CBD3D9"/>
          <w:right w:val="single" w:sz="6" w:color="CBD3D9"/>
          <w:insideH w:val="single" w:sz="4" w:color="CBD3D9"/>
          <w:insideV w:val="single" w:sz="4" w:color="CBD3D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200"/>
        <w:gridCol w:w="7800"/>
      </w:tblGrid>
      <w:tr>
        <w:trPr>
          <w:tblHeader/>
        </w:trPr>
        <w:tc>
          <w:tcPr>
            <w:tcW w:w="22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原则</w:t>
            </w:r>
          </w:p>
        </w:tc>
        <w:tc>
          <w:tcPr>
            <w:tcW w:w="78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设计要求</w:t>
            </w:r>
          </w:p>
        </w:tc>
      </w:tr>
      <w:tr>
        <w:tc>
          <w:tcPr>
            <w:tcW w:w="22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职责分离</w:t>
            </w:r>
          </w:p>
        </w:tc>
        <w:tc>
          <w:tcPr>
            <w:tcW w:w="78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BM 不承担 UDS 数据下载；PBL 不替代 BM 的最终启动决策。</w:t>
            </w:r>
          </w:p>
        </w:tc>
      </w:tr>
      <w:tr>
        <w:tc>
          <w:tcPr>
            <w:tcW w:w="22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固定分区</w:t>
            </w:r>
          </w:p>
        </w:tc>
        <w:tc>
          <w:tcPr>
            <w:tcW w:w="78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镜像地址、NVM、安全数据和保留区必须由统一链接/配置源生成，BM 与 PBL 配置不得漂移。</w:t>
            </w:r>
          </w:p>
        </w:tc>
      </w:tr>
      <w:tr>
        <w:tc>
          <w:tcPr>
            <w:tcW w:w="22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先验证后启动</w:t>
            </w:r>
          </w:p>
        </w:tc>
        <w:tc>
          <w:tcPr>
            <w:tcW w:w="78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valid 仅表示允许尝试；所有实际启动目标仍必须经过统一安全决策入口。</w:t>
            </w:r>
          </w:p>
        </w:tc>
      </w:tr>
      <w:tr>
        <w:tc>
          <w:tcPr>
            <w:tcW w:w="22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先失效后升级</w:t>
            </w:r>
          </w:p>
        </w:tc>
        <w:tc>
          <w:tcPr>
            <w:tcW w:w="78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CustApp 擦除前先持久化 invalid，完整校验成功后才恢复 valid。</w:t>
            </w:r>
          </w:p>
        </w:tc>
      </w:tr>
      <w:tr>
        <w:tc>
          <w:tcPr>
            <w:tcW w:w="22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单一异步作业</w:t>
            </w:r>
          </w:p>
        </w:tc>
        <w:tc>
          <w:tcPr>
            <w:tcW w:w="78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任一时刻只允许一个受控 Flash job；pending 状态不得被新请求覆盖。</w:t>
            </w:r>
          </w:p>
        </w:tc>
      </w:tr>
      <w:tr>
        <w:tc>
          <w:tcPr>
            <w:tcW w:w="22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地址最小授权</w:t>
            </w:r>
          </w:p>
        </w:tc>
        <w:tc>
          <w:tcPr>
            <w:tcW w:w="78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请求必须完整位于一个白名单分区，页写和扇区擦除后的物理影响也不得越界。</w:t>
            </w:r>
          </w:p>
        </w:tc>
      </w:tr>
      <w:tr>
        <w:tc>
          <w:tcPr>
            <w:tcW w:w="22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故障可恢复</w:t>
            </w:r>
          </w:p>
        </w:tc>
        <w:tc>
          <w:tcPr>
            <w:tcW w:w="78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断电、超时、通信中断、安全失败和 NvM 失败不得导致半写镜像被启动。</w:t>
            </w:r>
          </w:p>
        </w:tc>
      </w:tr>
      <w:tr>
        <w:tc>
          <w:tcPr>
            <w:tcW w:w="22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行为可追溯</w:t>
            </w:r>
          </w:p>
        </w:tc>
        <w:tc>
          <w:tcPr>
            <w:tcW w:w="78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当前 ELF 等效行为、安全增强和待确认项必须分别记录并纳入差分测试。</w:t>
            </w:r>
          </w:p>
        </w:tc>
      </w:tr>
    </w:tbl>
    <w:p>
      <w:pPr>
        <w:spacing w:after="30" w:line="180" w:lineRule="auto"/>
      </w:pPr>
      <w:r>
        <w:rPr>
          <w:rFonts w:ascii="Aptos" w:hAnsi="Aptos" w:eastAsia="Microsoft YaHei"/>
        </w:rPr>
        <w:t xml:space="preserve"/>
      </w:r>
    </w:p>
    <w:p>
      <w:pPr>
        <w:jc w:val="center"/>
        <w:spacing w:before="80" w:after="80"/>
      </w:pPr>
      <w:r>
        <w:drawing>
          <wp:inline distT="0" distB="0" distL="0" distR="0">
            <wp:extent cx="6192000" cy="4575200"/>
            <wp:effectExtent l="0" t="0" r="0" b="0"/>
            <wp:docPr id="2" name="functional_blocks" descr="图 2  BM、PBL 与共享平台的功能块和责任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5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60" w:line="260" w:lineRule="auto"/>
      </w:pPr>
      <w:r>
        <w:rPr>
          <w:rFonts w:ascii="Aptos" w:hAnsi="Aptos" w:eastAsia="Microsoft YaHei"/>
          <w:color w:val="5B6770"/>
          <w:sz w:val="18"/>
          <w:szCs w:val="18"/>
        </w:rPr>
        <w:t xml:space="preserve">图 2  BM、PBL 与共享平台的功能块和责任边界</w:t>
      </w:r>
    </w:p>
    <w:p>
      <w:pPr>
        <w:pStyle w:val="Heading1"/>
        <w:keepNext/>
        <w:pageBreakBefore/>
        <w:spacing w:after="140" w:line="330" w:lineRule="auto"/>
      </w:pPr>
      <w:r>
        <w:rPr>
          <w:rFonts w:ascii="Aptos" w:hAnsi="Aptos" w:eastAsia="Microsoft YaHei"/>
        </w:rPr>
        <w:t xml:space="preserve">4. BM 总体设计</w:t>
      </w:r>
    </w:p>
    <w:p>
      <w:pPr>
        <w:pStyle w:val="Heading2"/>
        <w:keepNext/>
        <w:spacing w:after="140" w:line="330" w:lineRule="auto"/>
      </w:pPr>
      <w:r>
        <w:rPr>
          <w:rFonts w:ascii="Aptos" w:hAnsi="Aptos" w:eastAsia="Microsoft YaHei"/>
        </w:rPr>
        <w:t xml:space="preserve">4.1 BM 主要职责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初始化 CPU/SoC、Flash、NvM、CAN、IPC 和安全基础模块。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读取 App/FBL/PBL valid、重编程请求、快速 App 选择和生命周期状态。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在上电早期窗口接收 FBL/PBL FORCEJUMP 帧。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按固定优先级选择 App、FBL 或 PBL，并记录安全启动结果。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对目标执行安全决策；加载 AppImage/RPRC 或重定位 Bootloader 向量后交接。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无合法目标或安全初始化失败时停留在 BM 安全错误态。</w:t>
      </w:r>
    </w:p>
    <w:p>
      <w:pPr>
        <w:pStyle w:val="Heading2"/>
        <w:keepNext/>
        <w:spacing w:after="140" w:line="330" w:lineRule="auto"/>
      </w:pPr>
      <w:r>
        <w:rPr>
          <w:rFonts w:ascii="Aptos" w:hAnsi="Aptos" w:eastAsia="Microsoft YaHei"/>
        </w:rPr>
        <w:t xml:space="preserve">4.2 启动目标</w:t>
      </w:r>
    </w:p>
    <w:tbl>
      <w:tblPr>
        <w:tblW w:w="10000" w:type="dxa"/>
        <w:tblLayout w:type="fixed"/>
        <w:tblBorders>
          <w:top w:val="single" w:sz="6" w:color="CBD3D9"/>
          <w:left w:val="single" w:sz="6" w:color="CBD3D9"/>
          <w:bottom w:val="single" w:sz="6" w:color="CBD3D9"/>
          <w:right w:val="single" w:sz="6" w:color="CBD3D9"/>
          <w:insideH w:val="single" w:sz="4" w:color="CBD3D9"/>
          <w:insideV w:val="single" w:sz="4" w:color="CBD3D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000"/>
        <w:gridCol w:w="2300"/>
        <w:gridCol w:w="2000"/>
        <w:gridCol w:w="2400"/>
        <w:gridCol w:w="2300"/>
      </w:tblGrid>
      <w:tr>
        <w:trPr>
          <w:tblHeader/>
        </w:trPr>
        <w:tc>
          <w:tcPr>
            <w:tcW w:w="10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imageId</w:t>
            </w:r>
          </w:p>
        </w:tc>
        <w:tc>
          <w:tcPr>
            <w:tcW w:w="23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目标</w:t>
            </w:r>
          </w:p>
        </w:tc>
        <w:tc>
          <w:tcPr>
            <w:tcW w:w="20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起始地址</w:t>
            </w:r>
          </w:p>
        </w:tc>
        <w:tc>
          <w:tcPr>
            <w:tcW w:w="24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valid 规则</w:t>
            </w:r>
          </w:p>
        </w:tc>
        <w:tc>
          <w:tcPr>
            <w:tcW w:w="23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交接方式</w:t>
            </w:r>
          </w:p>
        </w:tc>
      </w:tr>
      <w:tr>
        <w:tc>
          <w:tcPr>
            <w:tcW w:w="10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0</w:t>
            </w:r>
          </w:p>
        </w:tc>
        <w:tc>
          <w:tcPr>
            <w:tcW w:w="2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CustApp / ProductionApp</w:t>
            </w:r>
          </w:p>
        </w:tc>
        <w:tc>
          <w:tcPr>
            <w:tcW w:w="20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0x090000 / 0x190000</w:t>
            </w:r>
          </w:p>
        </w:tc>
        <w:tc>
          <w:tcPr>
            <w:tcW w:w="24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Application_Valid_Flag != 0x55</w:t>
            </w:r>
          </w:p>
        </w:tc>
        <w:tc>
          <w:tcPr>
            <w:tcW w:w="2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AppImage/RPRC 多核加载后跳 entryPoint</w:t>
            </w:r>
          </w:p>
        </w:tc>
      </w:tr>
      <w:tr>
        <w:tc>
          <w:tcPr>
            <w:tcW w:w="10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1</w:t>
            </w:r>
          </w:p>
        </w:tc>
        <w:tc>
          <w:tcPr>
            <w:tcW w:w="23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FBL / custboot</w:t>
            </w:r>
          </w:p>
        </w:tc>
        <w:tc>
          <w:tcPr>
            <w:tcW w:w="20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0x050000</w:t>
            </w:r>
          </w:p>
        </w:tc>
        <w:tc>
          <w:tcPr>
            <w:tcW w:w="24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0xAAAAAAAA</w:t>
            </w:r>
          </w:p>
        </w:tc>
        <w:tc>
          <w:tcPr>
            <w:tcW w:w="23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向量搬移后 BLX 0</w:t>
            </w:r>
          </w:p>
        </w:tc>
      </w:tr>
      <w:tr>
        <w:tc>
          <w:tcPr>
            <w:tcW w:w="10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2</w:t>
            </w:r>
          </w:p>
        </w:tc>
        <w:tc>
          <w:tcPr>
            <w:tcW w:w="2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PBL / pfboot</w:t>
            </w:r>
          </w:p>
        </w:tc>
        <w:tc>
          <w:tcPr>
            <w:tcW w:w="20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0x020000</w:t>
            </w:r>
          </w:p>
        </w:tc>
        <w:tc>
          <w:tcPr>
            <w:tcW w:w="24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0xAAAAAAAA</w:t>
            </w:r>
          </w:p>
        </w:tc>
        <w:tc>
          <w:tcPr>
            <w:tcW w:w="2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向量搬移后 BLX 0</w:t>
            </w:r>
          </w:p>
        </w:tc>
      </w:tr>
    </w:tbl>
    <w:p>
      <w:pPr>
        <w:spacing w:after="30" w:line="180" w:lineRule="auto"/>
      </w:pPr>
      <w:r>
        <w:rPr>
          <w:rFonts w:ascii="Aptos" w:hAnsi="Aptos" w:eastAsia="Microsoft YaHei"/>
        </w:rPr>
        <w:t xml:space="preserve"/>
      </w:r>
    </w:p>
    <w:p>
      <w:pPr>
        <w:pStyle w:val="Heading2"/>
        <w:keepNext/>
        <w:spacing w:after="140" w:line="330" w:lineRule="auto"/>
      </w:pPr>
      <w:r>
        <w:rPr>
          <w:rFonts w:ascii="Aptos" w:hAnsi="Aptos" w:eastAsia="Microsoft YaHei"/>
        </w:rPr>
        <w:t xml:space="preserve">4.3 启动决策优先级</w:t>
      </w:r>
    </w:p>
    <w:tbl>
      <w:tblPr>
        <w:tblW w:w="10000" w:type="dxa"/>
        <w:tblLayout w:type="fixed"/>
        <w:tblBorders>
          <w:top w:val="single" w:sz="6" w:color="CBD3D9"/>
          <w:left w:val="single" w:sz="6" w:color="CBD3D9"/>
          <w:bottom w:val="single" w:sz="6" w:color="CBD3D9"/>
          <w:right w:val="single" w:sz="6" w:color="CBD3D9"/>
          <w:insideH w:val="single" w:sz="4" w:color="CBD3D9"/>
          <w:insideV w:val="single" w:sz="4" w:color="CBD3D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000"/>
        <w:gridCol w:w="2600"/>
        <w:gridCol w:w="2200"/>
        <w:gridCol w:w="1900"/>
        <w:gridCol w:w="2300"/>
      </w:tblGrid>
      <w:tr>
        <w:trPr>
          <w:tblHeader/>
        </w:trPr>
        <w:tc>
          <w:tcPr>
            <w:tcW w:w="10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w="26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触发条件</w:t>
            </w:r>
          </w:p>
        </w:tc>
        <w:tc>
          <w:tcPr>
            <w:tcW w:w="22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目标</w:t>
            </w:r>
          </w:p>
        </w:tc>
        <w:tc>
          <w:tcPr>
            <w:tcW w:w="19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valid 检查</w:t>
            </w:r>
          </w:p>
        </w:tc>
        <w:tc>
          <w:tcPr>
            <w:tcW w:w="23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失败处理</w:t>
            </w:r>
          </w:p>
        </w:tc>
      </w:tr>
      <w:tr>
        <w:tc>
          <w:tcPr>
            <w:tcW w:w="10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1</w:t>
            </w:r>
          </w:p>
        </w:tc>
        <w:tc>
          <w:tcPr>
            <w:tcW w:w="26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早期 CAN StayInBootFlag=1/2</w:t>
            </w:r>
          </w:p>
        </w:tc>
        <w:tc>
          <w:tcPr>
            <w:tcW w:w="22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1→FBL；2→PBL</w:t>
            </w:r>
          </w:p>
        </w:tc>
        <w:tc>
          <w:tcPr>
            <w:tcW w:w="19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绕过目标 valid</w:t>
            </w:r>
          </w:p>
        </w:tc>
        <w:tc>
          <w:tcPr>
            <w:tcW w:w="2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安全检查失败后直接留在 BM，不回退</w:t>
            </w:r>
          </w:p>
        </w:tc>
      </w:tr>
      <w:tr>
        <w:tc>
          <w:tcPr>
            <w:tcW w:w="10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2</w:t>
            </w:r>
          </w:p>
        </w:tc>
        <w:tc>
          <w:tcPr>
            <w:tcW w:w="26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FBL/PBL 重编程 magic</w:t>
            </w:r>
          </w:p>
        </w:tc>
        <w:tc>
          <w:tcPr>
            <w:tcW w:w="22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请求的 FBL 或 PBL</w:t>
            </w:r>
          </w:p>
        </w:tc>
        <w:tc>
          <w:tcPr>
            <w:tcW w:w="19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必须为 0xAAAAAAAA</w:t>
            </w:r>
          </w:p>
        </w:tc>
        <w:tc>
          <w:tcPr>
            <w:tcW w:w="23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目标不可用时仅固定尝试 CustApp 0x090000</w:t>
            </w:r>
          </w:p>
        </w:tc>
      </w:tr>
      <w:tr>
        <w:tc>
          <w:tcPr>
            <w:tcW w:w="10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3</w:t>
            </w:r>
          </w:p>
        </w:tc>
        <w:tc>
          <w:tcPr>
            <w:tcW w:w="26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无强制、无有效重编程请求</w:t>
            </w:r>
          </w:p>
        </w:tc>
        <w:tc>
          <w:tcPr>
            <w:tcW w:w="22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App → FBL → PBL</w:t>
            </w:r>
          </w:p>
        </w:tc>
        <w:tc>
          <w:tcPr>
            <w:tcW w:w="19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逐个检查</w:t>
            </w:r>
          </w:p>
        </w:tc>
        <w:tc>
          <w:tcPr>
            <w:tcW w:w="2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当前候选失败后尝试下一个，耗尽后留在 BM</w:t>
            </w:r>
          </w:p>
        </w:tc>
      </w:tr>
    </w:tbl>
    <w:p>
      <w:pPr>
        <w:spacing w:after="30" w:line="180" w:lineRule="auto"/>
      </w:pPr>
      <w:r>
        <w:rPr>
          <w:rFonts w:ascii="Aptos" w:hAnsi="Aptos" w:eastAsia="Microsoft YaHei"/>
        </w:rPr>
        <w:t xml:space="preserve"/>
      </w:r>
    </w:p>
    <w:tbl>
      <w:tblPr>
        <w:tblW w:w="10000" w:type="dxa"/>
        <w:tblLayout w:type="fixed"/>
        <w:tblBorders>
          <w:top w:val="single" w:sz="6" w:color="DA8735"/>
          <w:left w:val="single" w:sz="6" w:color="DA8735"/>
          <w:bottom w:val="single" w:sz="6" w:color="DA8735"/>
          <w:right w:val="single" w:sz="6" w:color="DA8735"/>
          <w:insideH w:val="single" w:sz="4" w:color="DA8735"/>
          <w:insideV w:val="single" w:sz="4" w:color="DA8735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0000"/>
      </w:tblGrid>
      <w:tr>
        <w:tc>
          <w:tcPr>
            <w:tcW w:w="10000" w:type="dxa"/>
            <w:shd w:fill="FCF2E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26323B"/>
                <w:sz w:val="18"/>
                <w:szCs w:val="18"/>
              </w:rPr>
              <w:t xml:space="preserve">生命周期门</w:t>
            </w:r>
          </w:p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仅 OnBoard 和 Customizing 生命周期比较 0x3E2000 前 128 字节 magic。magic 失败且没有合法 FORCEJUMP 时不得进入启动选择；FORCEJUMP 只允许旁路该门和目标 valid，不得旁路目标安全检查。</w:t>
            </w:r>
          </w:p>
        </w:tc>
      </w:tr>
    </w:tbl>
    <w:p>
      <w:pPr>
        <w:spacing w:after="30" w:line="180" w:lineRule="auto"/>
      </w:pPr>
      <w:r>
        <w:rPr>
          <w:rFonts w:ascii="Aptos" w:hAnsi="Aptos" w:eastAsia="Microsoft YaHei"/>
        </w:rPr>
        <w:t xml:space="preserve"/>
      </w:r>
    </w:p>
    <w:p>
      <w:pPr>
        <w:spacing w:after="40" w:line="200" w:lineRule="auto"/>
      </w:pPr>
      <w:r>
        <w:rPr>
          <w:rFonts w:ascii="Aptos" w:hAnsi="Aptos" w:eastAsia="Microsoft YaHei"/>
        </w:rPr>
        <w:t xml:space="preserve"/>
      </w:r>
    </w:p>
    <w:p>
      <w:r>
        <w:br w:type="page"/>
      </w:r>
    </w:p>
    <w:p>
      <w:pPr>
        <w:jc w:val="center"/>
        <w:spacing w:before="80" w:after="80"/>
      </w:pPr>
      <w:r>
        <w:drawing>
          <wp:inline distT="0" distB="0" distL="0" distR="0">
            <wp:extent cx="5040000" cy="6678000"/>
            <wp:effectExtent l="0" t="0" r="0" b="0"/>
            <wp:docPr id="3" name="bm_boot_flow" descr="图 3  BM 启动选择、验证与交接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6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60" w:line="260" w:lineRule="auto"/>
      </w:pPr>
      <w:r>
        <w:rPr>
          <w:rFonts w:ascii="Aptos" w:hAnsi="Aptos" w:eastAsia="Microsoft YaHei"/>
          <w:color w:val="5B6770"/>
          <w:sz w:val="18"/>
          <w:szCs w:val="18"/>
        </w:rPr>
        <w:t xml:space="preserve">图 3  BM 启动选择、验证与交接流程</w:t>
      </w:r>
    </w:p>
    <w:p>
      <w:pPr>
        <w:pStyle w:val="Heading2"/>
        <w:keepNext/>
        <w:spacing w:after="140" w:line="330" w:lineRule="auto"/>
      </w:pPr>
      <w:r>
        <w:rPr>
          <w:rFonts w:ascii="Aptos" w:hAnsi="Aptos" w:eastAsia="Microsoft YaHei"/>
        </w:rPr>
        <w:t xml:space="preserve">4.4 安全启动与交接要求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所有目标使用统一安全决策入口；HSSE 量产生命周期按策略强制 Hash、签名和可选解密。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安全初始化、镜像加载、Hash、签名和解密失败必须区分记录，并保持 fail-closed。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FBL/PBL 交接前将 RAM 0x1021E000 起的 0x400 字节向量复制到 0x00000000，然后直接 BLX 0。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App 必须兼容现有 AppImage/RPRC 格式和量产 golden images，同时增加长度、偏移、地址、溢出和重叠检查。</w:t>
      </w:r>
    </w:p>
    <w:p>
      <w:pPr>
        <w:pStyle w:val="Heading1"/>
        <w:keepNext/>
        <w:pageBreakBefore/>
        <w:spacing w:after="140" w:line="330" w:lineRule="auto"/>
      </w:pPr>
      <w:r>
        <w:rPr>
          <w:rFonts w:ascii="Aptos" w:hAnsi="Aptos" w:eastAsia="Microsoft YaHei"/>
        </w:rPr>
        <w:t xml:space="preserve">5. PBL 总体设计</w:t>
      </w:r>
    </w:p>
    <w:p>
      <w:pPr>
        <w:pStyle w:val="Heading2"/>
        <w:keepNext/>
        <w:spacing w:after="140" w:line="330" w:lineRule="auto"/>
      </w:pPr>
      <w:r>
        <w:rPr>
          <w:rFonts w:ascii="Aptos" w:hAnsi="Aptos" w:eastAsia="Microsoft YaHei"/>
        </w:rPr>
        <w:t xml:space="preserve">5.1 PBL 主要职责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运行 EcuM/OS 周期任务并维持 CAN FD、CanTp、PduR、DCM 和网络管理。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处理擦除、RequestDownload、TransferData、TransferExit 和校验相关 UDS 回调。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通过 ImageM 建立下载上下文、执行九块白名单和写权限检查。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通过 FlashPort/Fls 执行异步分块擦除、256 字节页缓存写入和末页收尾。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执行 CRC32，并按安全策略执行 SHA-512 和签名验证。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CustApp 擦除前提交 invalid=0x55，验证通过后提交 valid=0xAA。</w:t>
      </w:r>
    </w:p>
    <w:p>
      <w:pPr>
        <w:pStyle w:val="Heading2"/>
        <w:keepNext/>
        <w:spacing w:after="140" w:line="330" w:lineRule="auto"/>
      </w:pPr>
      <w:r>
        <w:rPr>
          <w:rFonts w:ascii="Aptos" w:hAnsi="Aptos" w:eastAsia="Microsoft YaHei"/>
        </w:rPr>
        <w:t xml:space="preserve">5.2 调度模型</w:t>
      </w:r>
    </w:p>
    <w:tbl>
      <w:tblPr>
        <w:tblW w:w="10000" w:type="dxa"/>
        <w:tblLayout w:type="fixed"/>
        <w:tblBorders>
          <w:top w:val="single" w:sz="6" w:color="CBD3D9"/>
          <w:left w:val="single" w:sz="6" w:color="CBD3D9"/>
          <w:bottom w:val="single" w:sz="6" w:color="CBD3D9"/>
          <w:right w:val="single" w:sz="6" w:color="CBD3D9"/>
          <w:insideH w:val="single" w:sz="4" w:color="CBD3D9"/>
          <w:insideV w:val="single" w:sz="4" w:color="CBD3D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900"/>
        <w:gridCol w:w="3800"/>
        <w:gridCol w:w="4300"/>
      </w:tblGrid>
      <w:tr>
        <w:trPr>
          <w:tblHeader/>
        </w:trPr>
        <w:tc>
          <w:tcPr>
            <w:tcW w:w="19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执行上下文</w:t>
            </w:r>
          </w:p>
        </w:tc>
        <w:tc>
          <w:tcPr>
            <w:tcW w:w="38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主要内容</w:t>
            </w:r>
          </w:p>
        </w:tc>
        <w:tc>
          <w:tcPr>
            <w:tcW w:w="43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设计约束</w:t>
            </w:r>
          </w:p>
        </w:tc>
      </w:tr>
      <w:tr>
        <w:tc>
          <w:tcPr>
            <w:tcW w:w="19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1 ms task</w:t>
            </w:r>
          </w:p>
        </w:tc>
        <w:tc>
          <w:tcPr>
            <w:tcW w:w="38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CAN/DCM/CanTp、安全访问延时</w:t>
            </w:r>
          </w:p>
        </w:tc>
        <w:tc>
          <w:tcPr>
            <w:tcW w:w="4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不得被长 Flash/HSM 操作阻塞</w:t>
            </w:r>
          </w:p>
        </w:tc>
      </w:tr>
      <w:tr>
        <w:tc>
          <w:tcPr>
            <w:tcW w:w="19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10 ms task</w:t>
            </w:r>
          </w:p>
        </w:tc>
        <w:tc>
          <w:tcPr>
            <w:tcW w:w="38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BootM、CanSM、ComM、EcuM、NvM、安全 Flash</w:t>
            </w:r>
          </w:p>
        </w:tc>
        <w:tc>
          <w:tcPr>
            <w:tcW w:w="43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持续推进持久化和网络状态</w:t>
            </w:r>
          </w:p>
        </w:tc>
      </w:tr>
      <w:tr>
        <w:tc>
          <w:tcPr>
            <w:tcW w:w="19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Background task</w:t>
            </w:r>
          </w:p>
        </w:tc>
        <w:tc>
          <w:tcPr>
            <w:tcW w:w="38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ImageM 校验、FlashPort job、TransferExit、兼容性 job</w:t>
            </w:r>
          </w:p>
        </w:tc>
        <w:tc>
          <w:tcPr>
            <w:tcW w:w="4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异步状态可查询，超时/取消可恢复</w:t>
            </w:r>
          </w:p>
        </w:tc>
      </w:tr>
    </w:tbl>
    <w:p>
      <w:pPr>
        <w:spacing w:after="30" w:line="180" w:lineRule="auto"/>
      </w:pPr>
      <w:r>
        <w:rPr>
          <w:rFonts w:ascii="Aptos" w:hAnsi="Aptos" w:eastAsia="Microsoft YaHei"/>
        </w:rPr>
        <w:t xml:space="preserve"/>
      </w:r>
    </w:p>
    <w:p>
      <w:r>
        <w:br w:type="page"/>
      </w:r>
    </w:p>
    <w:p>
      <w:pPr>
        <w:jc w:val="center"/>
        <w:spacing w:before="80" w:after="80"/>
      </w:pPr>
      <w:r>
        <w:drawing>
          <wp:inline distT="0" distB="0" distL="0" distR="0">
            <wp:extent cx="4968000" cy="7141499"/>
            <wp:effectExtent l="0" t="0" r="0" b="0"/>
            <wp:docPr id="4" name="pbl_upgrade_flow" descr="图 4  PBL 典型 UDS 升级事务和 valid 提交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714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60" w:line="260" w:lineRule="auto"/>
      </w:pPr>
      <w:r>
        <w:rPr>
          <w:rFonts w:ascii="Aptos" w:hAnsi="Aptos" w:eastAsia="Microsoft YaHei"/>
          <w:color w:val="5B6770"/>
          <w:sz w:val="18"/>
          <w:szCs w:val="18"/>
        </w:rPr>
        <w:t xml:space="preserve">图 4  PBL 典型 UDS 升级事务和 valid 提交流程</w:t>
      </w:r>
    </w:p>
    <w:p>
      <w:pPr>
        <w:pStyle w:val="Heading2"/>
        <w:keepNext/>
        <w:spacing w:after="140" w:line="330" w:lineRule="auto"/>
      </w:pPr>
      <w:r>
        <w:rPr>
          <w:rFonts w:ascii="Aptos" w:hAnsi="Aptos" w:eastAsia="Microsoft YaHei"/>
        </w:rPr>
        <w:t xml:space="preserve">5.3 升级状态与关键约束</w:t>
      </w:r>
    </w:p>
    <w:tbl>
      <w:tblPr>
        <w:tblW w:w="10000" w:type="dxa"/>
        <w:tblLayout w:type="fixed"/>
        <w:tblBorders>
          <w:top w:val="single" w:sz="6" w:color="CBD3D9"/>
          <w:left w:val="single" w:sz="6" w:color="CBD3D9"/>
          <w:bottom w:val="single" w:sz="6" w:color="CBD3D9"/>
          <w:right w:val="single" w:sz="6" w:color="CBD3D9"/>
          <w:insideH w:val="single" w:sz="4" w:color="CBD3D9"/>
          <w:insideV w:val="single" w:sz="4" w:color="CBD3D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500"/>
        <w:gridCol w:w="5300"/>
        <w:gridCol w:w="3200"/>
      </w:tblGrid>
      <w:tr>
        <w:trPr>
          <w:tblHeader/>
        </w:trPr>
        <w:tc>
          <w:tcPr>
            <w:tcW w:w="15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w="53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主要动作</w:t>
            </w:r>
          </w:p>
        </w:tc>
        <w:tc>
          <w:tcPr>
            <w:tcW w:w="32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失败原则</w:t>
            </w:r>
          </w:p>
        </w:tc>
      </w:tr>
      <w:tr>
        <w:tc>
          <w:tcPr>
            <w:tcW w:w="1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授权/打开</w:t>
            </w:r>
          </w:p>
        </w:tc>
        <w:tc>
          <w:tcPr>
            <w:tcW w:w="5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检查会话、安全等级、地址、长度和单块包含关系</w:t>
            </w:r>
          </w:p>
        </w:tc>
        <w:tc>
          <w:tcPr>
            <w:tcW w:w="32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拒绝并保持原状态</w:t>
            </w:r>
          </w:p>
        </w:tc>
      </w:tr>
      <w:tr>
        <w:tc>
          <w:tcPr>
            <w:tcW w:w="15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失效</w:t>
            </w:r>
          </w:p>
        </w:tc>
        <w:tc>
          <w:tcPr>
            <w:tcW w:w="53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CustApp block 2 写 0x55 并确认持久化</w:t>
            </w:r>
          </w:p>
        </w:tc>
        <w:tc>
          <w:tcPr>
            <w:tcW w:w="32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未确认成功不得开始擦除</w:t>
            </w:r>
          </w:p>
        </w:tc>
      </w:tr>
      <w:tr>
        <w:tc>
          <w:tcPr>
            <w:tcW w:w="1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擦除</w:t>
            </w:r>
          </w:p>
        </w:tc>
        <w:tc>
          <w:tcPr>
            <w:tcW w:w="5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每次最大 0x10000，异步轮询</w:t>
            </w:r>
          </w:p>
        </w:tc>
        <w:tc>
          <w:tcPr>
            <w:tcW w:w="32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保持 invalid，关闭上下文</w:t>
            </w:r>
          </w:p>
        </w:tc>
      </w:tr>
      <w:tr>
        <w:tc>
          <w:tcPr>
            <w:tcW w:w="15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接收/写入</w:t>
            </w:r>
          </w:p>
        </w:tc>
        <w:tc>
          <w:tcPr>
            <w:tcW w:w="53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按 0x100 页缓存；TransferExit 收尾</w:t>
            </w:r>
          </w:p>
        </w:tc>
        <w:tc>
          <w:tcPr>
            <w:tcW w:w="32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不得越下载窗口或覆盖 pending job</w:t>
            </w:r>
          </w:p>
        </w:tc>
      </w:tr>
      <w:tr>
        <w:tc>
          <w:tcPr>
            <w:tcW w:w="1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校验</w:t>
            </w:r>
          </w:p>
        </w:tc>
        <w:tc>
          <w:tcPr>
            <w:tcW w:w="5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CRC32 + 安全门控的 SHA-512/签名</w:t>
            </w:r>
          </w:p>
        </w:tc>
        <w:tc>
          <w:tcPr>
            <w:tcW w:w="32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任一失败不得提交 valid</w:t>
            </w:r>
          </w:p>
        </w:tc>
      </w:tr>
      <w:tr>
        <w:tc>
          <w:tcPr>
            <w:tcW w:w="15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提交/复位</w:t>
            </w:r>
          </w:p>
        </w:tc>
        <w:tc>
          <w:tcPr>
            <w:tcW w:w="53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CustApp 写 0xAA，清重编程请求，确认 NvM 后复位</w:t>
            </w:r>
          </w:p>
        </w:tc>
        <w:tc>
          <w:tcPr>
            <w:tcW w:w="32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持久化失败时保持恢复模式</w:t>
            </w:r>
          </w:p>
        </w:tc>
      </w:tr>
    </w:tbl>
    <w:p>
      <w:pPr>
        <w:spacing w:after="30" w:line="180" w:lineRule="auto"/>
      </w:pPr>
      <w:r>
        <w:rPr>
          <w:rFonts w:ascii="Aptos" w:hAnsi="Aptos" w:eastAsia="Microsoft YaHei"/>
        </w:rPr>
        <w:t xml:space="preserve"/>
      </w:r>
    </w:p>
    <w:p>
      <w:pPr>
        <w:pStyle w:val="Heading2"/>
        <w:keepNext/>
        <w:spacing w:after="140" w:line="330" w:lineRule="auto"/>
      </w:pPr>
      <w:r>
        <w:rPr>
          <w:rFonts w:ascii="Aptos" w:hAnsi="Aptos" w:eastAsia="Microsoft YaHei"/>
        </w:rPr>
        <w:t xml:space="preserve">5.4 当前接口基线</w:t>
      </w:r>
    </w:p>
    <w:tbl>
      <w:tblPr>
        <w:tblW w:w="10000" w:type="dxa"/>
        <w:tblLayout w:type="fixed"/>
        <w:tblBorders>
          <w:top w:val="single" w:sz="6" w:color="CBD3D9"/>
          <w:left w:val="single" w:sz="6" w:color="CBD3D9"/>
          <w:bottom w:val="single" w:sz="6" w:color="CBD3D9"/>
          <w:right w:val="single" w:sz="6" w:color="CBD3D9"/>
          <w:insideH w:val="single" w:sz="4" w:color="CBD3D9"/>
          <w:insideV w:val="single" w:sz="4" w:color="CBD3D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000"/>
        <w:gridCol w:w="7000"/>
      </w:tblGrid>
      <w:tr>
        <w:trPr>
          <w:tblHeader/>
        </w:trPr>
        <w:tc>
          <w:tcPr>
            <w:tcW w:w="30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接口</w:t>
            </w:r>
          </w:p>
        </w:tc>
        <w:tc>
          <w:tcPr>
            <w:tcW w:w="70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当前基线</w:t>
            </w:r>
          </w:p>
        </w:tc>
      </w:tr>
      <w:tr>
        <w:tc>
          <w:tcPr>
            <w:tcW w:w="30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RequestDownload 最大块长度</w:t>
            </w:r>
          </w:p>
        </w:tc>
        <w:tc>
          <w:tcPr>
            <w:tcW w:w="70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0x0FFF（4095 字节）</w:t>
            </w:r>
          </w:p>
        </w:tc>
      </w:tr>
      <w:tr>
        <w:tc>
          <w:tcPr>
            <w:tcW w:w="30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Flash 页写</w:t>
            </w:r>
          </w:p>
        </w:tc>
        <w:tc>
          <w:tcPr>
            <w:tcW w:w="70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0x100 字节；最后一页以 0x00 补齐</w:t>
            </w:r>
          </w:p>
        </w:tc>
      </w:tr>
      <w:tr>
        <w:tc>
          <w:tcPr>
            <w:tcW w:w="30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Flash 擦除分块</w:t>
            </w:r>
          </w:p>
        </w:tc>
        <w:tc>
          <w:tcPr>
            <w:tcW w:w="70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单次最大 0x10000 字节</w:t>
            </w:r>
          </w:p>
        </w:tc>
      </w:tr>
      <w:tr>
        <w:tc>
          <w:tcPr>
            <w:tcW w:w="30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Routine 0xFF00</w:t>
            </w:r>
          </w:p>
        </w:tc>
        <w:tc>
          <w:tcPr>
            <w:tcW w:w="70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目标区域擦除</w:t>
            </w:r>
          </w:p>
        </w:tc>
      </w:tr>
      <w:tr>
        <w:tc>
          <w:tcPr>
            <w:tcW w:w="30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Routine 0x0212</w:t>
            </w:r>
          </w:p>
        </w:tc>
        <w:tc>
          <w:tcPr>
            <w:tcW w:w="70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异步下载校验接口</w:t>
            </w:r>
          </w:p>
        </w:tc>
      </w:tr>
      <w:tr>
        <w:tc>
          <w:tcPr>
            <w:tcW w:w="30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Routine 0x0205</w:t>
            </w:r>
          </w:p>
        </w:tc>
        <w:tc>
          <w:tcPr>
            <w:tcW w:w="70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当前仅异步检查 App valid，并返回 0/5；不是完整版本兼容性检查</w:t>
            </w:r>
          </w:p>
        </w:tc>
      </w:tr>
      <w:tr>
        <w:tc>
          <w:tcPr>
            <w:tcW w:w="30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DID FC00 / FC01</w:t>
            </w:r>
          </w:p>
        </w:tc>
        <w:tc>
          <w:tcPr>
            <w:tcW w:w="70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分别专用于 0x3E2000 / 0x3E3000 扇区，不得扩展为任意地址写接口</w:t>
            </w:r>
          </w:p>
        </w:tc>
      </w:tr>
    </w:tbl>
    <w:p>
      <w:pPr>
        <w:spacing w:after="30" w:line="180" w:lineRule="auto"/>
      </w:pPr>
      <w:r>
        <w:rPr>
          <w:rFonts w:ascii="Aptos" w:hAnsi="Aptos" w:eastAsia="Microsoft YaHei"/>
        </w:rPr>
        <w:t xml:space="preserve"/>
      </w:r>
    </w:p>
    <w:p>
      <w:pPr>
        <w:pStyle w:val="Heading1"/>
        <w:keepNext/>
        <w:pageBreakBefore/>
        <w:spacing w:after="140" w:line="330" w:lineRule="auto"/>
      </w:pPr>
      <w:r>
        <w:rPr>
          <w:rFonts w:ascii="Aptos" w:hAnsi="Aptos" w:eastAsia="Microsoft YaHei"/>
        </w:rPr>
        <w:t xml:space="preserve">6. 外部 Flash 与 NVM 布局</w:t>
      </w:r>
    </w:p>
    <w:p>
      <w:pPr>
        <w:jc w:val="center"/>
        <w:spacing w:before="80" w:after="80"/>
      </w:pPr>
      <w:r>
        <w:drawing>
          <wp:inline distT="0" distB="0" distL="0" distR="0">
            <wp:extent cx="6048000" cy="7156800"/>
            <wp:effectExtent l="0" t="0" r="0" b="0"/>
            <wp:docPr id="5" name="external_flash_map" descr="图 5  4 MiB 外部 Flash 分区与访问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715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pacing w:after="160" w:line="260" w:lineRule="auto"/>
      </w:pPr>
      <w:r>
        <w:rPr>
          <w:rFonts w:ascii="Aptos" w:hAnsi="Aptos" w:eastAsia="Microsoft YaHei"/>
          <w:color w:val="5B6770"/>
          <w:sz w:val="18"/>
          <w:szCs w:val="18"/>
        </w:rPr>
        <w:t xml:space="preserve">图 5  4 MiB 外部 Flash 分区与访问边界</w:t>
      </w:r>
    </w:p>
    <w:p>
      <w:pPr>
        <w:pStyle w:val="Heading2"/>
        <w:keepNext/>
        <w:spacing w:after="140" w:line="330" w:lineRule="auto"/>
      </w:pPr>
      <w:r>
        <w:rPr>
          <w:rFonts w:ascii="Aptos" w:hAnsi="Aptos" w:eastAsia="Microsoft YaHei"/>
        </w:rPr>
        <w:t xml:space="preserve">6.1 PBL 普通下载白名单</w:t>
      </w:r>
    </w:p>
    <w:tbl>
      <w:tblPr>
        <w:tblW w:w="10000" w:type="dxa"/>
        <w:tblLayout w:type="fixed"/>
        <w:tblBorders>
          <w:top w:val="single" w:sz="6" w:color="CBD3D9"/>
          <w:left w:val="single" w:sz="6" w:color="CBD3D9"/>
          <w:bottom w:val="single" w:sz="6" w:color="CBD3D9"/>
          <w:right w:val="single" w:sz="6" w:color="CBD3D9"/>
          <w:insideH w:val="single" w:sz="4" w:color="CBD3D9"/>
          <w:insideV w:val="single" w:sz="4" w:color="CBD3D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200"/>
        <w:gridCol w:w="2500"/>
        <w:gridCol w:w="4000"/>
        <w:gridCol w:w="2300"/>
      </w:tblGrid>
      <w:tr>
        <w:trPr>
          <w:tblHeader/>
        </w:trPr>
        <w:tc>
          <w:tcPr>
            <w:tcW w:w="12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imageId</w:t>
            </w:r>
          </w:p>
        </w:tc>
        <w:tc>
          <w:tcPr>
            <w:tcW w:w="25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分区</w:t>
            </w:r>
          </w:p>
        </w:tc>
        <w:tc>
          <w:tcPr>
            <w:tcW w:w="40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半开地址区间</w:t>
            </w:r>
          </w:p>
        </w:tc>
        <w:tc>
          <w:tcPr>
            <w:tcW w:w="23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长度</w:t>
            </w:r>
          </w:p>
        </w:tc>
      </w:tr>
      <w:tr>
        <w:tc>
          <w:tcPr>
            <w:tcW w:w="12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0</w:t>
            </w:r>
          </w:p>
        </w:tc>
        <w:tc>
          <w:tcPr>
            <w:tcW w:w="2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BM</w:t>
            </w:r>
          </w:p>
        </w:tc>
        <w:tc>
          <w:tcPr>
            <w:tcW w:w="40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[0x000000, 0x020000)</w:t>
            </w:r>
          </w:p>
        </w:tc>
        <w:tc>
          <w:tcPr>
            <w:tcW w:w="2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0x020000</w:t>
            </w:r>
          </w:p>
        </w:tc>
      </w:tr>
      <w:tr>
        <w:tc>
          <w:tcPr>
            <w:tcW w:w="12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2</w:t>
            </w:r>
          </w:p>
        </w:tc>
        <w:tc>
          <w:tcPr>
            <w:tcW w:w="25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PBL</w:t>
            </w:r>
          </w:p>
        </w:tc>
        <w:tc>
          <w:tcPr>
            <w:tcW w:w="40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[0x020000, 0x050000)</w:t>
            </w:r>
          </w:p>
        </w:tc>
        <w:tc>
          <w:tcPr>
            <w:tcW w:w="23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0x030000</w:t>
            </w:r>
          </w:p>
        </w:tc>
      </w:tr>
      <w:tr>
        <w:tc>
          <w:tcPr>
            <w:tcW w:w="12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1</w:t>
            </w:r>
          </w:p>
        </w:tc>
        <w:tc>
          <w:tcPr>
            <w:tcW w:w="2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FBL</w:t>
            </w:r>
          </w:p>
        </w:tc>
        <w:tc>
          <w:tcPr>
            <w:tcW w:w="40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[0x050000, 0x090000)</w:t>
            </w:r>
          </w:p>
        </w:tc>
        <w:tc>
          <w:tcPr>
            <w:tcW w:w="2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0x040000</w:t>
            </w:r>
          </w:p>
        </w:tc>
      </w:tr>
      <w:tr>
        <w:tc>
          <w:tcPr>
            <w:tcW w:w="12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3</w:t>
            </w:r>
          </w:p>
        </w:tc>
        <w:tc>
          <w:tcPr>
            <w:tcW w:w="25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CustApp</w:t>
            </w:r>
          </w:p>
        </w:tc>
        <w:tc>
          <w:tcPr>
            <w:tcW w:w="40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[0x090000, 0x190000)</w:t>
            </w:r>
          </w:p>
        </w:tc>
        <w:tc>
          <w:tcPr>
            <w:tcW w:w="23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0x100000</w:t>
            </w:r>
          </w:p>
        </w:tc>
      </w:tr>
      <w:tr>
        <w:tc>
          <w:tcPr>
            <w:tcW w:w="12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4</w:t>
            </w:r>
          </w:p>
        </w:tc>
        <w:tc>
          <w:tcPr>
            <w:tcW w:w="2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ProductionApp</w:t>
            </w:r>
          </w:p>
        </w:tc>
        <w:tc>
          <w:tcPr>
            <w:tcW w:w="40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[0x190000, 0x290000)</w:t>
            </w:r>
          </w:p>
        </w:tc>
        <w:tc>
          <w:tcPr>
            <w:tcW w:w="2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0x100000</w:t>
            </w:r>
          </w:p>
        </w:tc>
      </w:tr>
      <w:tr>
        <w:tc>
          <w:tcPr>
            <w:tcW w:w="12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7</w:t>
            </w:r>
          </w:p>
        </w:tc>
        <w:tc>
          <w:tcPr>
            <w:tcW w:w="25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HSM</w:t>
            </w:r>
          </w:p>
        </w:tc>
        <w:tc>
          <w:tcPr>
            <w:tcW w:w="40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[0x2D0000, 0x310000)</w:t>
            </w:r>
          </w:p>
        </w:tc>
        <w:tc>
          <w:tcPr>
            <w:tcW w:w="23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0x040000</w:t>
            </w:r>
          </w:p>
        </w:tc>
      </w:tr>
      <w:tr>
        <w:tc>
          <w:tcPr>
            <w:tcW w:w="12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8</w:t>
            </w:r>
          </w:p>
        </w:tc>
        <w:tc>
          <w:tcPr>
            <w:tcW w:w="2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WeifuData</w:t>
            </w:r>
          </w:p>
        </w:tc>
        <w:tc>
          <w:tcPr>
            <w:tcW w:w="40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[0x310000, 0x320000)</w:t>
            </w:r>
          </w:p>
        </w:tc>
        <w:tc>
          <w:tcPr>
            <w:tcW w:w="2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0x010000</w:t>
            </w:r>
          </w:p>
        </w:tc>
      </w:tr>
      <w:tr>
        <w:tc>
          <w:tcPr>
            <w:tcW w:w="12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5</w:t>
            </w:r>
          </w:p>
        </w:tc>
        <w:tc>
          <w:tcPr>
            <w:tcW w:w="25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CustData</w:t>
            </w:r>
          </w:p>
        </w:tc>
        <w:tc>
          <w:tcPr>
            <w:tcW w:w="40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[0x320000, 0x330000)</w:t>
            </w:r>
          </w:p>
        </w:tc>
        <w:tc>
          <w:tcPr>
            <w:tcW w:w="23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0x010000</w:t>
            </w:r>
          </w:p>
        </w:tc>
      </w:tr>
      <w:tr>
        <w:tc>
          <w:tcPr>
            <w:tcW w:w="12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6</w:t>
            </w:r>
          </w:p>
        </w:tc>
        <w:tc>
          <w:tcPr>
            <w:tcW w:w="2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ClibData</w:t>
            </w:r>
          </w:p>
        </w:tc>
        <w:tc>
          <w:tcPr>
            <w:tcW w:w="40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[0x330000, 0x340000)</w:t>
            </w:r>
          </w:p>
        </w:tc>
        <w:tc>
          <w:tcPr>
            <w:tcW w:w="2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0x010000</w:t>
            </w:r>
          </w:p>
        </w:tc>
      </w:tr>
    </w:tbl>
    <w:p>
      <w:pPr>
        <w:spacing w:after="30" w:line="180" w:lineRule="auto"/>
      </w:pPr>
      <w:r>
        <w:rPr>
          <w:rFonts w:ascii="Aptos" w:hAnsi="Aptos" w:eastAsia="Microsoft YaHei"/>
        </w:rPr>
        <w:t xml:space="preserve"/>
      </w:r>
    </w:p>
    <w:p>
      <w:pPr>
        <w:pStyle w:val="Heading2"/>
        <w:keepNext/>
        <w:spacing w:after="140" w:line="330" w:lineRule="auto"/>
      </w:pPr>
      <w:r>
        <w:rPr>
          <w:rFonts w:ascii="Aptos" w:hAnsi="Aptos" w:eastAsia="Microsoft YaHei"/>
        </w:rPr>
        <w:t xml:space="preserve">6.2 NVM 保护要求</w:t>
      </w:r>
    </w:p>
    <w:tbl>
      <w:tblPr>
        <w:tblW w:w="10000" w:type="dxa"/>
        <w:tblLayout w:type="fixed"/>
        <w:tblBorders>
          <w:top w:val="single" w:sz="6" w:color="B24849"/>
          <w:left w:val="single" w:sz="6" w:color="B24849"/>
          <w:bottom w:val="single" w:sz="6" w:color="B24849"/>
          <w:right w:val="single" w:sz="6" w:color="B24849"/>
          <w:insideH w:val="single" w:sz="4" w:color="B24849"/>
          <w:insideV w:val="single" w:sz="4" w:color="B2484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0000"/>
      </w:tblGrid>
      <w:tr>
        <w:tc>
          <w:tcPr>
            <w:tcW w:w="10000" w:type="dxa"/>
            <w:shd w:fill="F8EAEA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26323B"/>
                <w:sz w:val="18"/>
                <w:szCs w:val="18"/>
              </w:rPr>
              <w:t xml:space="preserve">准确结论</w:t>
            </w:r>
          </w:p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正常 CustApp/ProductionApp 的 ImageM 镜像擦除不会直接进入 0x340000-0x370000。CustApp 的 valid 更新会触发 Fee/NvM 事务，因此 0x350000 起的 Fee 物理 bank 可能发生页写、垃圾回收或 bank 迁移；这不应导致其他 App 逻辑 NvM block 丢失。</w:t>
            </w:r>
          </w:p>
        </w:tc>
      </w:tr>
    </w:tbl>
    <w:p>
      <w:pPr>
        <w:spacing w:after="30" w:line="180" w:lineRule="auto"/>
      </w:pPr>
      <w:r>
        <w:rPr>
          <w:rFonts w:ascii="Aptos" w:hAnsi="Aptos" w:eastAsia="Microsoft YaHei"/>
        </w:rPr>
        <w:t xml:space="preserve"/>
      </w:r>
    </w:p>
    <w:p>
      <w:pPr>
        <w:spacing w:after="40" w:line="200" w:lineRule="auto"/>
      </w:pPr>
      <w:r>
        <w:rPr>
          <w:rFonts w:ascii="Aptos" w:hAnsi="Aptos" w:eastAsia="Microsoft YaHei"/>
        </w:rPr>
        <w:t xml:space="preserve"/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ImageM/FlashPort 必须拒绝对 [0x340000, 0x3D0000) 的直接下载、擦除和越界页写。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BM 与 PBL 必须使用完全一致的 Fee bank 配置：[0x350000,0x390000) 和 [0x390000,0x3D0000)。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验收同时检查 Fls 物理 trace 与 NvM 逻辑读回；Fee 元数据变化不能直接判定为 NVM 数据被破坏。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必须结合真实 Flash 扇区几何证明擦除单元不跨分区，并覆盖 Fee 回收和逐时间点掉电测试。</w:t>
      </w:r>
    </w:p>
    <w:p>
      <w:pPr>
        <w:pStyle w:val="Heading1"/>
        <w:keepNext/>
        <w:pageBreakBefore/>
        <w:spacing w:after="140" w:line="330" w:lineRule="auto"/>
      </w:pPr>
      <w:r>
        <w:rPr>
          <w:rFonts w:ascii="Aptos" w:hAnsi="Aptos" w:eastAsia="Microsoft YaHei"/>
        </w:rPr>
        <w:t xml:space="preserve">7. BM/PBL 关键接口与数据合同</w:t>
      </w:r>
    </w:p>
    <w:p>
      <w:pPr>
        <w:pStyle w:val="Heading2"/>
        <w:keepNext/>
        <w:spacing w:after="140" w:line="330" w:lineRule="auto"/>
      </w:pPr>
      <w:r>
        <w:rPr>
          <w:rFonts w:ascii="Aptos" w:hAnsi="Aptos" w:eastAsia="Microsoft YaHei"/>
        </w:rPr>
        <w:t xml:space="preserve">7.1 启动与共享状态</w:t>
      </w:r>
    </w:p>
    <w:tbl>
      <w:tblPr>
        <w:tblW w:w="10000" w:type="dxa"/>
        <w:tblLayout w:type="fixed"/>
        <w:tblBorders>
          <w:top w:val="single" w:sz="6" w:color="CBD3D9"/>
          <w:left w:val="single" w:sz="6" w:color="CBD3D9"/>
          <w:bottom w:val="single" w:sz="6" w:color="CBD3D9"/>
          <w:right w:val="single" w:sz="6" w:color="CBD3D9"/>
          <w:insideH w:val="single" w:sz="4" w:color="CBD3D9"/>
          <w:insideV w:val="single" w:sz="4" w:color="CBD3D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300"/>
        <w:gridCol w:w="3500"/>
        <w:gridCol w:w="4200"/>
      </w:tblGrid>
      <w:tr>
        <w:trPr>
          <w:tblHeader/>
        </w:trPr>
        <w:tc>
          <w:tcPr>
            <w:tcW w:w="23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6"/>
                <w:szCs w:val="16"/>
              </w:rPr>
              <w:t xml:space="preserve">接口/状态</w:t>
            </w:r>
          </w:p>
        </w:tc>
        <w:tc>
          <w:tcPr>
            <w:tcW w:w="35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6"/>
                <w:szCs w:val="16"/>
              </w:rPr>
              <w:t xml:space="preserve">地址或值</w:t>
            </w:r>
          </w:p>
        </w:tc>
        <w:tc>
          <w:tcPr>
            <w:tcW w:w="42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6"/>
                <w:szCs w:val="16"/>
              </w:rPr>
              <w:t xml:space="preserve">合同</w:t>
            </w:r>
          </w:p>
        </w:tc>
      </w:tr>
      <w:tr>
        <w:tc>
          <w:tcPr>
            <w:tcW w:w="2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FBL valid word</w:t>
            </w:r>
          </w:p>
        </w:tc>
        <w:tc>
          <w:tcPr>
            <w:tcW w:w="3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0x08F000 / 0xAAAAAAAA</w:t>
            </w:r>
          </w:p>
        </w:tc>
        <w:tc>
          <w:tcPr>
            <w:tcW w:w="42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BM 仅在精确匹配时把 FBL 视为有效</w:t>
            </w:r>
          </w:p>
        </w:tc>
      </w:tr>
      <w:tr>
        <w:tc>
          <w:tcPr>
            <w:tcW w:w="23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PBL valid word</w:t>
            </w:r>
          </w:p>
        </w:tc>
        <w:tc>
          <w:tcPr>
            <w:tcW w:w="35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0x04F000 / 0xAAAAAAAA</w:t>
            </w:r>
          </w:p>
        </w:tc>
        <w:tc>
          <w:tcPr>
            <w:tcW w:w="42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BM 仅在精确匹配时把 PBL 视为有效</w:t>
            </w:r>
          </w:p>
        </w:tc>
      </w:tr>
      <w:tr>
        <w:tc>
          <w:tcPr>
            <w:tcW w:w="2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Application valid</w:t>
            </w:r>
          </w:p>
        </w:tc>
        <w:tc>
          <w:tcPr>
            <w:tcW w:w="3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0xAA valid；0x55 invalid</w:t>
            </w:r>
          </w:p>
        </w:tc>
        <w:tc>
          <w:tcPr>
            <w:tcW w:w="42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BM 当前按 !=0x55 允许尝试；PBL CustApp 按 0x55/0xAA 提交</w:t>
            </w:r>
          </w:p>
        </w:tc>
      </w:tr>
      <w:tr>
        <w:tc>
          <w:tcPr>
            <w:tcW w:w="23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快速 App 选择</w:t>
            </w:r>
          </w:p>
        </w:tc>
        <w:tc>
          <w:tcPr>
            <w:tcW w:w="35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0x3E3000，CUAP/PDAP</w:t>
            </w:r>
          </w:p>
        </w:tc>
        <w:tc>
          <w:tcPr>
            <w:tcW w:w="42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选择 CustApp 0x090000 或 ProductionApp 0x190000</w:t>
            </w:r>
          </w:p>
        </w:tc>
      </w:tr>
      <w:tr>
        <w:tc>
          <w:tcPr>
            <w:tcW w:w="2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Lifecycle 共享 RAM</w:t>
            </w:r>
          </w:p>
        </w:tc>
        <w:tc>
          <w:tcPr>
            <w:tcW w:w="3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0x102DFF0C，4 字节</w:t>
            </w:r>
          </w:p>
        </w:tc>
        <w:tc>
          <w:tcPr>
            <w:tcW w:w="42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{ecuLC,hsmMain,hsmSub,crc8}；CRC8 覆盖前三字节</w:t>
            </w:r>
          </w:p>
        </w:tc>
      </w:tr>
      <w:tr>
        <w:tc>
          <w:tcPr>
            <w:tcW w:w="23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Lifecycle magic</w:t>
            </w:r>
          </w:p>
        </w:tc>
        <w:tc>
          <w:tcPr>
            <w:tcW w:w="35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0x3E2000 前 128 字节</w:t>
            </w:r>
          </w:p>
        </w:tc>
        <w:tc>
          <w:tcPr>
            <w:tcW w:w="42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仅 OnBoard/Customizing 启动门使用</w:t>
            </w:r>
          </w:p>
        </w:tc>
      </w:tr>
      <w:tr>
        <w:tc>
          <w:tcPr>
            <w:tcW w:w="23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重编程请求</w:t>
            </w:r>
          </w:p>
        </w:tc>
        <w:tc>
          <w:tcPr>
            <w:tcW w:w="3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26323B"/>
                <w:sz w:val="16"/>
                <w:szCs w:val="16"/>
              </w:rPr>
              <w:t xml:space="preserve">FBL: 0x10021002/0x10821082</w:t>
            </w:r>
          </w:p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PBL: 0x10061006/0x10861086</w:t>
            </w:r>
          </w:p>
        </w:tc>
        <w:tc>
          <w:tcPr>
            <w:tcW w:w="42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优先进入对应 Bootloader；目标不可用时按 BM 固定规则回退</w:t>
            </w:r>
          </w:p>
        </w:tc>
      </w:tr>
    </w:tbl>
    <w:p>
      <w:pPr>
        <w:spacing w:after="30" w:line="180" w:lineRule="auto"/>
      </w:pPr>
      <w:r>
        <w:rPr>
          <w:rFonts w:ascii="Aptos" w:hAnsi="Aptos" w:eastAsia="Microsoft YaHei"/>
        </w:rPr>
        <w:t xml:space="preserve"/>
      </w:r>
    </w:p>
    <w:p>
      <w:pPr>
        <w:pStyle w:val="Heading2"/>
        <w:keepNext/>
        <w:spacing w:after="140" w:line="330" w:lineRule="auto"/>
      </w:pPr>
      <w:r>
        <w:rPr>
          <w:rFonts w:ascii="Aptos" w:hAnsi="Aptos" w:eastAsia="Microsoft YaHei"/>
        </w:rPr>
        <w:t xml:space="preserve">7.2 早期 CAN 强制跳转</w:t>
      </w:r>
    </w:p>
    <w:tbl>
      <w:tblPr>
        <w:tblW w:w="10000" w:type="dxa"/>
        <w:tblLayout w:type="fixed"/>
        <w:tblBorders>
          <w:top w:val="single" w:sz="6" w:color="CBD3D9"/>
          <w:left w:val="single" w:sz="6" w:color="CBD3D9"/>
          <w:bottom w:val="single" w:sz="6" w:color="CBD3D9"/>
          <w:right w:val="single" w:sz="6" w:color="CBD3D9"/>
          <w:insideH w:val="single" w:sz="4" w:color="CBD3D9"/>
          <w:insideV w:val="single" w:sz="4" w:color="CBD3D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000"/>
        <w:gridCol w:w="5500"/>
        <w:gridCol w:w="2500"/>
      </w:tblGrid>
      <w:tr>
        <w:trPr>
          <w:tblHeader/>
        </w:trPr>
        <w:tc>
          <w:tcPr>
            <w:tcW w:w="20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6"/>
                <w:szCs w:val="16"/>
              </w:rPr>
              <w:t xml:space="preserve">CAN ID</w:t>
            </w:r>
          </w:p>
        </w:tc>
        <w:tc>
          <w:tcPr>
            <w:tcW w:w="55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6"/>
                <w:szCs w:val="16"/>
              </w:rPr>
              <w:t xml:space="preserve">16 字节 payload</w:t>
            </w:r>
          </w:p>
        </w:tc>
        <w:tc>
          <w:tcPr>
            <w:tcW w:w="25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6"/>
                <w:szCs w:val="16"/>
              </w:rPr>
              <w:t xml:space="preserve">结果</w:t>
            </w:r>
          </w:p>
        </w:tc>
      </w:tr>
      <w:tr>
        <w:tc>
          <w:tcPr>
            <w:tcW w:w="20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0x190C8532</w:t>
            </w:r>
          </w:p>
        </w:tc>
        <w:tc>
          <w:tcPr>
            <w:tcW w:w="5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02 10 82 46 4F 52 43 45 4A 55 4D 50 A5 B6 C7 D8</w:t>
            </w:r>
          </w:p>
        </w:tc>
        <w:tc>
          <w:tcPr>
            <w:tcW w:w="2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StayInBootFlag=1，FBL</w:t>
            </w:r>
          </w:p>
        </w:tc>
      </w:tr>
      <w:tr>
        <w:tc>
          <w:tcPr>
            <w:tcW w:w="20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0x190C8532</w:t>
            </w:r>
          </w:p>
        </w:tc>
        <w:tc>
          <w:tcPr>
            <w:tcW w:w="55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02 10 60 46 4F 52 43 45 4A 55 4D 50 A5 B6 C7 D8</w:t>
            </w:r>
          </w:p>
        </w:tc>
        <w:tc>
          <w:tcPr>
            <w:tcW w:w="25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6"/>
                <w:szCs w:val="16"/>
              </w:rPr>
              <w:t xml:space="preserve">StayInBootFlag=2，PBL</w:t>
            </w:r>
          </w:p>
        </w:tc>
      </w:tr>
    </w:tbl>
    <w:p>
      <w:pPr>
        <w:spacing w:after="30" w:line="180" w:lineRule="auto"/>
      </w:pPr>
      <w:r>
        <w:rPr>
          <w:rFonts w:ascii="Aptos" w:hAnsi="Aptos" w:eastAsia="Microsoft YaHei"/>
        </w:rPr>
        <w:t xml:space="preserve"/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新实现必须先检查 DLC/长度至少为 16，再比较完整 payload；合法帧行为保持与当前基线一致。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强制帧仅在 BM 早期窗口生效；真实时间窗口须在目标硬件测量后冻结。</w:t>
      </w:r>
    </w:p>
    <w:p>
      <w:pPr>
        <w:pStyle w:val="Heading2"/>
        <w:keepNext/>
        <w:spacing w:after="140" w:line="330" w:lineRule="auto"/>
      </w:pPr>
      <w:r>
        <w:rPr>
          <w:rFonts w:ascii="Aptos" w:hAnsi="Aptos" w:eastAsia="Microsoft YaHei"/>
        </w:rPr>
        <w:t xml:space="preserve">7.3 Lifecycle CRC8</w:t>
      </w:r>
    </w:p>
    <w:tbl>
      <w:tblPr>
        <w:tblW w:w="10000" w:type="dxa"/>
        <w:tblLayout w:type="fixed"/>
        <w:tblBorders>
          <w:top w:val="single" w:sz="6" w:color="CBD3D9"/>
          <w:left w:val="single" w:sz="6" w:color="CBD3D9"/>
          <w:bottom w:val="single" w:sz="6" w:color="CBD3D9"/>
          <w:right w:val="single" w:sz="6" w:color="CBD3D9"/>
          <w:insideH w:val="single" w:sz="4" w:color="CBD3D9"/>
          <w:insideV w:val="single" w:sz="4" w:color="CBD3D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000"/>
        <w:gridCol w:w="7000"/>
      </w:tblGrid>
      <w:tr>
        <w:trPr>
          <w:tblHeader/>
        </w:trPr>
        <w:tc>
          <w:tcPr>
            <w:tcW w:w="30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w="70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c>
          <w:tcPr>
            <w:tcW w:w="30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算法等价</w:t>
            </w:r>
          </w:p>
        </w:tc>
        <w:tc>
          <w:tcPr>
            <w:tcW w:w="70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CRC-8/SAE-J1850</w:t>
            </w:r>
          </w:p>
        </w:tc>
      </w:tr>
      <w:tr>
        <w:tc>
          <w:tcPr>
            <w:tcW w:w="30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Polynomial</w:t>
            </w:r>
          </w:p>
        </w:tc>
        <w:tc>
          <w:tcPr>
            <w:tcW w:w="70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0x1D</w:t>
            </w:r>
          </w:p>
        </w:tc>
      </w:tr>
      <w:tr>
        <w:tc>
          <w:tcPr>
            <w:tcW w:w="30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Init / XorOut</w:t>
            </w:r>
          </w:p>
        </w:tc>
        <w:tc>
          <w:tcPr>
            <w:tcW w:w="70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0xFF / 0xFF</w:t>
            </w:r>
          </w:p>
        </w:tc>
      </w:tr>
      <w:tr>
        <w:tc>
          <w:tcPr>
            <w:tcW w:w="30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RefIn / RefOut</w:t>
            </w:r>
          </w:p>
        </w:tc>
        <w:tc>
          <w:tcPr>
            <w:tcW w:w="70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false / false</w:t>
            </w:r>
          </w:p>
        </w:tc>
      </w:tr>
      <w:tr>
        <w:tc>
          <w:tcPr>
            <w:tcW w:w="30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覆盖范围</w:t>
            </w:r>
          </w:p>
        </w:tc>
        <w:tc>
          <w:tcPr>
            <w:tcW w:w="70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0x102DFF0C 起前三字节；结果写偏移 +3</w:t>
            </w:r>
          </w:p>
        </w:tc>
      </w:tr>
    </w:tbl>
    <w:p>
      <w:pPr>
        <w:spacing w:after="30" w:line="180" w:lineRule="auto"/>
      </w:pPr>
      <w:r>
        <w:rPr>
          <w:rFonts w:ascii="Aptos" w:hAnsi="Aptos" w:eastAsia="Microsoft YaHei"/>
        </w:rPr>
        <w:t xml:space="preserve"/>
      </w:r>
    </w:p>
    <w:p>
      <w:pPr>
        <w:pStyle w:val="Heading1"/>
        <w:keepNext/>
        <w:pageBreakBefore/>
        <w:spacing w:after="140" w:line="330" w:lineRule="auto"/>
      </w:pPr>
      <w:r>
        <w:rPr>
          <w:rFonts w:ascii="Aptos" w:hAnsi="Aptos" w:eastAsia="Microsoft YaHei"/>
        </w:rPr>
        <w:t xml:space="preserve">8. 供应商最低技术要求</w:t>
      </w:r>
    </w:p>
    <w:tbl>
      <w:tblPr>
        <w:tblW w:w="10000" w:type="dxa"/>
        <w:tblLayout w:type="fixed"/>
        <w:tblBorders>
          <w:top w:val="single" w:sz="6" w:color="CBD3D9"/>
          <w:left w:val="single" w:sz="6" w:color="CBD3D9"/>
          <w:bottom w:val="single" w:sz="6" w:color="CBD3D9"/>
          <w:right w:val="single" w:sz="6" w:color="CBD3D9"/>
          <w:insideH w:val="single" w:sz="4" w:color="CBD3D9"/>
          <w:insideV w:val="single" w:sz="4" w:color="CBD3D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500"/>
        <w:gridCol w:w="8500"/>
      </w:tblGrid>
      <w:tr>
        <w:trPr>
          <w:tblHeader/>
        </w:trPr>
        <w:tc>
          <w:tcPr>
            <w:tcW w:w="15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85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强制要求</w:t>
            </w:r>
          </w:p>
        </w:tc>
      </w:tr>
      <w:tr>
        <w:tc>
          <w:tcPr>
            <w:tcW w:w="1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ARCH-01</w:t>
            </w:r>
          </w:p>
        </w:tc>
        <w:tc>
          <w:tcPr>
            <w:tcW w:w="8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实现 BM/PBL 分层，禁止诊断层和业务层绕过 ImageM/安全决策直接访问任意 Flash。</w:t>
            </w:r>
          </w:p>
        </w:tc>
      </w:tr>
      <w:tr>
        <w:tc>
          <w:tcPr>
            <w:tcW w:w="15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BOOT-01</w:t>
            </w:r>
          </w:p>
        </w:tc>
        <w:tc>
          <w:tcPr>
            <w:tcW w:w="85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保持目标地址、三层启动优先级、valid 规则、重编程映射和 CAN FORCEJUMP 行为。</w:t>
            </w:r>
          </w:p>
        </w:tc>
      </w:tr>
      <w:tr>
        <w:tc>
          <w:tcPr>
            <w:tcW w:w="1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BOOT-02</w:t>
            </w:r>
          </w:p>
        </w:tc>
        <w:tc>
          <w:tcPr>
            <w:tcW w:w="8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无合法目标、安全初始化失败或镜像验证失败时保持 fail-closed，不执行未验证地址。</w:t>
            </w:r>
          </w:p>
        </w:tc>
      </w:tr>
      <w:tr>
        <w:tc>
          <w:tcPr>
            <w:tcW w:w="15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SEC-01</w:t>
            </w:r>
          </w:p>
        </w:tc>
        <w:tc>
          <w:tcPr>
            <w:tcW w:w="85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量产生命周期下强制安全启动；密钥不进入普通软件交付物，HSM 故障可追溯。</w:t>
            </w:r>
          </w:p>
        </w:tc>
      </w:tr>
      <w:tr>
        <w:tc>
          <w:tcPr>
            <w:tcW w:w="1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DL-01</w:t>
            </w:r>
          </w:p>
        </w:tc>
        <w:tc>
          <w:tcPr>
            <w:tcW w:w="8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仅允许九个 LogBlock；请求、页写和物理擦除单元都不得跨越授权边界。</w:t>
            </w:r>
          </w:p>
        </w:tc>
      </w:tr>
      <w:tr>
        <w:tc>
          <w:tcPr>
            <w:tcW w:w="15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DL-02</w:t>
            </w:r>
          </w:p>
        </w:tc>
        <w:tc>
          <w:tcPr>
            <w:tcW w:w="85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erase/write/write-exit/verifier 任一 pending 时，新请求不得覆盖 context、job、缓冲或结果指针。</w:t>
            </w:r>
          </w:p>
        </w:tc>
      </w:tr>
      <w:tr>
        <w:tc>
          <w:tcPr>
            <w:tcW w:w="1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NVM-01</w:t>
            </w:r>
          </w:p>
        </w:tc>
        <w:tc>
          <w:tcPr>
            <w:tcW w:w="8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CustApp 擦除前确认 invalid 持久化，校验成功后确认 valid 持久化；失败不得继续依赖动作。</w:t>
            </w:r>
          </w:p>
        </w:tc>
      </w:tr>
      <w:tr>
        <w:tc>
          <w:tcPr>
            <w:tcW w:w="15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NVM-02</w:t>
            </w:r>
          </w:p>
        </w:tc>
        <w:tc>
          <w:tcPr>
            <w:tcW w:w="85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Fee 操作不得丢失非目标逻辑 NvM block；BM/PBL Fee 配置必须一致。</w:t>
            </w:r>
          </w:p>
        </w:tc>
      </w:tr>
      <w:tr>
        <w:tc>
          <w:tcPr>
            <w:tcW w:w="1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ROB-01</w:t>
            </w:r>
          </w:p>
        </w:tc>
        <w:tc>
          <w:tcPr>
            <w:tcW w:w="8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所有外部长度、地址加法、页/扇区对齐和镜像头字段必须检查溢出、越界与重叠。</w:t>
            </w:r>
          </w:p>
        </w:tc>
      </w:tr>
      <w:tr>
        <w:tc>
          <w:tcPr>
            <w:tcW w:w="15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ROB-02</w:t>
            </w:r>
          </w:p>
        </w:tc>
        <w:tc>
          <w:tcPr>
            <w:tcW w:w="85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所有 Flash/HSM/NvM pending 必须具备超时、取消或安全复位恢复方案。</w:t>
            </w:r>
          </w:p>
        </w:tc>
      </w:tr>
      <w:tr>
        <w:tc>
          <w:tcPr>
            <w:tcW w:w="1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PWR-01</w:t>
            </w:r>
          </w:p>
        </w:tc>
        <w:tc>
          <w:tcPr>
            <w:tcW w:w="8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擦除、每页写、TransferExit、验证和 valid 写回各关键点断电后均可安全恢复。</w:t>
            </w:r>
          </w:p>
        </w:tc>
      </w:tr>
      <w:tr>
        <w:tc>
          <w:tcPr>
            <w:tcW w:w="15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COMP-01</w:t>
            </w:r>
          </w:p>
        </w:tc>
        <w:tc>
          <w:tcPr>
            <w:tcW w:w="85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当前量产镜像、烧录包、签名工具、UDS 客户端和 CAN 行为保持兼容；有意差异须批准。</w:t>
            </w:r>
          </w:p>
        </w:tc>
      </w:tr>
      <w:tr>
        <w:tc>
          <w:tcPr>
            <w:tcW w:w="1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QUAL-01</w:t>
            </w:r>
          </w:p>
        </w:tc>
        <w:tc>
          <w:tcPr>
            <w:tcW w:w="8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提供可复现构建、MISRA/CERT-C 静态分析、覆盖率、WCET、栈水位和依赖清单。</w:t>
            </w:r>
          </w:p>
        </w:tc>
      </w:tr>
    </w:tbl>
    <w:p>
      <w:pPr>
        <w:spacing w:after="30" w:line="180" w:lineRule="auto"/>
      </w:pPr>
      <w:r>
        <w:rPr>
          <w:rFonts w:ascii="Aptos" w:hAnsi="Aptos" w:eastAsia="Microsoft YaHei"/>
        </w:rPr>
        <w:t xml:space="preserve"/>
      </w:r>
    </w:p>
    <w:tbl>
      <w:tblPr>
        <w:tblW w:w="10000" w:type="dxa"/>
        <w:tblLayout w:type="fixed"/>
        <w:tblBorders>
          <w:top w:val="single" w:sz="6" w:color="DA8735"/>
          <w:left w:val="single" w:sz="6" w:color="DA8735"/>
          <w:bottom w:val="single" w:sz="6" w:color="DA8735"/>
          <w:right w:val="single" w:sz="6" w:color="DA8735"/>
          <w:insideH w:val="single" w:sz="4" w:color="DA8735"/>
          <w:insideV w:val="single" w:sz="4" w:color="DA8735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0000"/>
      </w:tblGrid>
      <w:tr>
        <w:tc>
          <w:tcPr>
            <w:tcW w:w="10000" w:type="dxa"/>
            <w:shd w:fill="FCF2E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26323B"/>
                <w:sz w:val="18"/>
                <w:szCs w:val="18"/>
              </w:rPr>
              <w:t xml:space="preserve">当前缺陷与安全增强</w:t>
            </w:r>
          </w:p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详细设计中已识别 lifecycle 返回值忽略、CRC-invalid fallback、并发 context/job 覆盖、TransferData 子窗口未收敛、NvM 最终结果未确认等异常路径。供应商应修复，但必须把修复列为经批准的安全增强，不得宣称这些拒绝行为已由当前 ELF 实现。</w:t>
            </w:r>
          </w:p>
        </w:tc>
      </w:tr>
    </w:tbl>
    <w:p>
      <w:pPr>
        <w:spacing w:after="30" w:line="180" w:lineRule="auto"/>
      </w:pPr>
      <w:r>
        <w:rPr>
          <w:rFonts w:ascii="Aptos" w:hAnsi="Aptos" w:eastAsia="Microsoft YaHei"/>
        </w:rPr>
        <w:t xml:space="preserve"/>
      </w:r>
    </w:p>
    <w:p>
      <w:pPr>
        <w:spacing w:after="40" w:line="200" w:lineRule="auto"/>
      </w:pPr>
      <w:r>
        <w:rPr>
          <w:rFonts w:ascii="Aptos" w:hAnsi="Aptos" w:eastAsia="Microsoft YaHei"/>
        </w:rPr>
        <w:t xml:space="preserve"/>
      </w:r>
    </w:p>
    <w:p>
      <w:pPr>
        <w:pStyle w:val="Heading1"/>
        <w:keepNext/>
        <w:pageBreakBefore/>
        <w:spacing w:after="140" w:line="330" w:lineRule="auto"/>
      </w:pPr>
      <w:r>
        <w:rPr>
          <w:rFonts w:ascii="Aptos" w:hAnsi="Aptos" w:eastAsia="Microsoft YaHei"/>
        </w:rPr>
        <w:t xml:space="preserve">9. 编码前接口冻结清单</w:t>
      </w:r>
    </w:p>
    <w:p>
      <w:pPr>
        <w:spacing w:after="80" w:line="310" w:lineRule="auto"/>
      </w:pPr>
      <w:r>
        <w:rPr>
          <w:rFonts w:ascii="Aptos" w:hAnsi="Aptos" w:eastAsia="Microsoft YaHei"/>
          <w:b/>
          <w:color w:val="38709F"/>
        </w:rPr>
        <w:t xml:space="preserve">1.  </w:t>
      </w:r>
      <w:r>
        <w:rPr>
          <w:rFonts w:ascii="Aptos" w:hAnsi="Aptos" w:eastAsia="Microsoft YaHei"/>
        </w:rPr>
        <w:t xml:space="preserve">完整 4 MiB Flash 分区、真实物理扇区/页几何、所有者和写保护策略。</w:t>
      </w:r>
    </w:p>
    <w:p>
      <w:pPr>
        <w:spacing w:after="80" w:line="310" w:lineRule="auto"/>
      </w:pPr>
      <w:r>
        <w:rPr>
          <w:rFonts w:ascii="Aptos" w:hAnsi="Aptos" w:eastAsia="Microsoft YaHei"/>
          <w:b/>
          <w:color w:val="38709F"/>
        </w:rPr>
        <w:t xml:space="preserve">2.  </w:t>
      </w:r>
      <w:r>
        <w:rPr>
          <w:rFonts w:ascii="Aptos" w:hAnsi="Aptos" w:eastAsia="Microsoft YaHei"/>
        </w:rPr>
        <w:t xml:space="preserve">BM/PBL/FBL/App/HSM 镜像格式、链接地址、入口、头字段、padding、Hash/签名覆盖范围。</w:t>
      </w:r>
    </w:p>
    <w:p>
      <w:pPr>
        <w:spacing w:after="80" w:line="310" w:lineRule="auto"/>
      </w:pPr>
      <w:r>
        <w:rPr>
          <w:rFonts w:ascii="Aptos" w:hAnsi="Aptos" w:eastAsia="Microsoft YaHei"/>
          <w:b/>
          <w:color w:val="38709F"/>
        </w:rPr>
        <w:t xml:space="preserve">3.  </w:t>
      </w:r>
      <w:r>
        <w:rPr>
          <w:rFonts w:ascii="Aptos" w:hAnsi="Aptos" w:eastAsia="Microsoft YaHei"/>
        </w:rPr>
        <w:t xml:space="preserve">AppImage/RPRC CPU 表、加载地址、PLL/时钟、核释放顺序及超时。</w:t>
      </w:r>
    </w:p>
    <w:p>
      <w:pPr>
        <w:spacing w:after="80" w:line="310" w:lineRule="auto"/>
      </w:pPr>
      <w:r>
        <w:rPr>
          <w:rFonts w:ascii="Aptos" w:hAnsi="Aptos" w:eastAsia="Microsoft YaHei"/>
          <w:b/>
          <w:color w:val="38709F"/>
        </w:rPr>
        <w:t xml:space="preserve">4.  </w:t>
      </w:r>
      <w:r>
        <w:rPr>
          <w:rFonts w:ascii="Aptos" w:hAnsi="Aptos" w:eastAsia="Microsoft YaHei"/>
        </w:rPr>
        <w:t xml:space="preserve">NvM block 2/3 布局、默认值、冗余/CRC、Fee 全部逻辑 block 映射、回收与迁移原子性。</w:t>
      </w:r>
    </w:p>
    <w:p>
      <w:pPr>
        <w:spacing w:after="80" w:line="310" w:lineRule="auto"/>
      </w:pPr>
      <w:r>
        <w:rPr>
          <w:rFonts w:ascii="Aptos" w:hAnsi="Aptos" w:eastAsia="Microsoft YaHei"/>
          <w:b/>
          <w:color w:val="38709F"/>
        </w:rPr>
        <w:t xml:space="preserve">5.  </w:t>
      </w:r>
      <w:r>
        <w:rPr>
          <w:rFonts w:ascii="Aptos" w:hAnsi="Aptos" w:eastAsia="Microsoft YaHei"/>
        </w:rPr>
        <w:t xml:space="preserve">完整 UDS 服务、会话/安全矩阵、DID/RID 格式、NRC、P2/P2*/S3 和 CanTp 参数。</w:t>
      </w:r>
    </w:p>
    <w:p>
      <w:pPr>
        <w:spacing w:after="80" w:line="310" w:lineRule="auto"/>
      </w:pPr>
      <w:r>
        <w:rPr>
          <w:rFonts w:ascii="Aptos" w:hAnsi="Aptos" w:eastAsia="Microsoft YaHei"/>
          <w:b/>
          <w:color w:val="38709F"/>
        </w:rPr>
        <w:t xml:space="preserve">6.  </w:t>
      </w:r>
      <w:r>
        <w:rPr>
          <w:rFonts w:ascii="Aptos" w:hAnsi="Aptos" w:eastAsia="Microsoft YaHei"/>
        </w:rPr>
        <w:t xml:space="preserve">HSM 生命周期、key slot、签名/解密算法、SecurityAccess 和证书更新流程。</w:t>
      </w:r>
    </w:p>
    <w:p>
      <w:pPr>
        <w:spacing w:after="80" w:line="310" w:lineRule="auto"/>
      </w:pPr>
      <w:r>
        <w:rPr>
          <w:rFonts w:ascii="Aptos" w:hAnsi="Aptos" w:eastAsia="Microsoft YaHei"/>
          <w:b/>
          <w:color w:val="38709F"/>
        </w:rPr>
        <w:t xml:space="preserve">7.  </w:t>
      </w:r>
      <w:r>
        <w:rPr>
          <w:rFonts w:ascii="Aptos" w:hAnsi="Aptos" w:eastAsia="Microsoft YaHei"/>
        </w:rPr>
        <w:t xml:space="preserve">CUAP/PDAP 快速选择策略、FC00/FC01 权限和 CustApp/ProductionApp 发布策略。</w:t>
      </w:r>
    </w:p>
    <w:p>
      <w:pPr>
        <w:spacing w:after="80" w:line="310" w:lineRule="auto"/>
      </w:pPr>
      <w:r>
        <w:rPr>
          <w:rFonts w:ascii="Aptos" w:hAnsi="Aptos" w:eastAsia="Microsoft YaHei"/>
          <w:b/>
          <w:color w:val="38709F"/>
        </w:rPr>
        <w:t xml:space="preserve">8.  </w:t>
      </w:r>
      <w:r>
        <w:rPr>
          <w:rFonts w:ascii="Aptos" w:hAnsi="Aptos" w:eastAsia="Microsoft YaHei"/>
        </w:rPr>
        <w:t xml:space="preserve">Watchdog、复位原因、错误日志、超时阈值和现场恢复策略。</w:t>
      </w:r>
    </w:p>
    <w:tbl>
      <w:tblPr>
        <w:tblW w:w="10000" w:type="dxa"/>
        <w:tblLayout w:type="fixed"/>
        <w:tblBorders>
          <w:top w:val="single" w:sz="6" w:color="B24849"/>
          <w:left w:val="single" w:sz="6" w:color="B24849"/>
          <w:bottom w:val="single" w:sz="6" w:color="B24849"/>
          <w:right w:val="single" w:sz="6" w:color="B24849"/>
          <w:insideH w:val="single" w:sz="4" w:color="B24849"/>
          <w:insideV w:val="single" w:sz="4" w:color="B2484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0000"/>
      </w:tblGrid>
      <w:tr>
        <w:tc>
          <w:tcPr>
            <w:tcW w:w="10000" w:type="dxa"/>
            <w:shd w:fill="F8EAEA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26323B"/>
                <w:sz w:val="18"/>
                <w:szCs w:val="18"/>
              </w:rPr>
              <w:t xml:space="preserve">门槛</w:t>
            </w:r>
          </w:p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以上接口没有形成双方签字版本前，供应商可以开展架构原型，但不应冻结详细设计或进入量产代码实现。</w:t>
            </w:r>
          </w:p>
        </w:tc>
      </w:tr>
    </w:tbl>
    <w:p>
      <w:pPr>
        <w:spacing w:after="30" w:line="180" w:lineRule="auto"/>
      </w:pPr>
      <w:r>
        <w:rPr>
          <w:rFonts w:ascii="Aptos" w:hAnsi="Aptos" w:eastAsia="Microsoft YaHei"/>
        </w:rPr>
        <w:t xml:space="preserve"/>
      </w:r>
    </w:p>
    <w:p>
      <w:pPr>
        <w:spacing w:after="40" w:line="200" w:lineRule="auto"/>
      </w:pPr>
      <w:r>
        <w:rPr>
          <w:rFonts w:ascii="Aptos" w:hAnsi="Aptos" w:eastAsia="Microsoft YaHei"/>
        </w:rPr>
        <w:t xml:space="preserve"/>
      </w:r>
    </w:p>
    <w:p>
      <w:pPr>
        <w:pStyle w:val="Heading1"/>
        <w:keepNext/>
        <w:pageBreakBefore/>
        <w:spacing w:after="140" w:line="330" w:lineRule="auto"/>
      </w:pPr>
      <w:r>
        <w:rPr>
          <w:rFonts w:ascii="Aptos" w:hAnsi="Aptos" w:eastAsia="Microsoft YaHei"/>
        </w:rPr>
        <w:t xml:space="preserve">10. 供应商交付物与验收</w:t>
      </w:r>
    </w:p>
    <w:p>
      <w:pPr>
        <w:pStyle w:val="Heading2"/>
        <w:keepNext/>
        <w:spacing w:after="140" w:line="330" w:lineRule="auto"/>
      </w:pPr>
      <w:r>
        <w:rPr>
          <w:rFonts w:ascii="Aptos" w:hAnsi="Aptos" w:eastAsia="Microsoft YaHei"/>
        </w:rPr>
        <w:t xml:space="preserve">10.1 强制交付物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Bootloader 软件架构、BM/PBL 详细设计、状态机、时序图和接口数据字典。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全部源码、生成配置、链接脚本、构建脚本、固定工具版本和可复现构建说明。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ELF、HEX/BIN、map、符号、反汇编、SHA-256 清单和量产烧录包。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镜像打包/签名/验签工具及版本化格式规范；密钥按独立安全流程管理。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单元、集成、HIL、诊断一致性、掉电、模糊、安全和性能测试报告。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MISRA/CERT-C、静态分析、deviation、代码覆盖率、栈/WCET/CPU 负载和开源清单。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需求到设计、代码和测试的双向追溯矩阵。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与当前 ELF 的同输入差分报告，以及每项有意行为差异的客户批准记录。</w:t>
      </w:r>
    </w:p>
    <w:p>
      <w:pPr>
        <w:pStyle w:val="Heading2"/>
        <w:keepNext/>
        <w:spacing w:after="140" w:line="330" w:lineRule="auto"/>
      </w:pPr>
      <w:r>
        <w:rPr>
          <w:rFonts w:ascii="Aptos" w:hAnsi="Aptos" w:eastAsia="Microsoft YaHei"/>
        </w:rPr>
        <w:t xml:space="preserve">10.2 最低验收场景</w:t>
      </w:r>
    </w:p>
    <w:tbl>
      <w:tblPr>
        <w:tblW w:w="10000" w:type="dxa"/>
        <w:tblLayout w:type="fixed"/>
        <w:tblBorders>
          <w:top w:val="single" w:sz="6" w:color="CBD3D9"/>
          <w:left w:val="single" w:sz="6" w:color="CBD3D9"/>
          <w:bottom w:val="single" w:sz="6" w:color="CBD3D9"/>
          <w:right w:val="single" w:sz="6" w:color="CBD3D9"/>
          <w:insideH w:val="single" w:sz="4" w:color="CBD3D9"/>
          <w:insideV w:val="single" w:sz="4" w:color="CBD3D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800"/>
        <w:gridCol w:w="8200"/>
      </w:tblGrid>
      <w:tr>
        <w:trPr>
          <w:tblHeader/>
        </w:trPr>
        <w:tc>
          <w:tcPr>
            <w:tcW w:w="18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类别</w:t>
            </w:r>
          </w:p>
        </w:tc>
        <w:tc>
          <w:tcPr>
            <w:tcW w:w="82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至少覆盖</w:t>
            </w:r>
          </w:p>
        </w:tc>
      </w:tr>
      <w:tr>
        <w:tc>
          <w:tcPr>
            <w:tcW w:w="18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BM 启动</w:t>
            </w:r>
          </w:p>
        </w:tc>
        <w:tc>
          <w:tcPr>
            <w:tcW w:w="82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普通 App→FBL→PBL、四种重编程 magic、两种 FORCEJUMP、valid/安全失败、magic/lifecycle 矩阵</w:t>
            </w:r>
          </w:p>
        </w:tc>
      </w:tr>
      <w:tr>
        <w:tc>
          <w:tcPr>
            <w:tcW w:w="18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PBL 升级</w:t>
            </w:r>
          </w:p>
        </w:tc>
        <w:tc>
          <w:tcPr>
            <w:tcW w:w="82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九分区边界、合法/非法 RequestDownload、跨页/末页、擦写故障、CRC/Hash/签名篡改</w:t>
            </w:r>
          </w:p>
        </w:tc>
      </w:tr>
      <w:tr>
        <w:tc>
          <w:tcPr>
            <w:tcW w:w="18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NVM/Fee</w:t>
            </w:r>
          </w:p>
        </w:tc>
        <w:tc>
          <w:tcPr>
            <w:tcW w:w="82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逻辑块保持、强制垃圾回收/bank 迁移、block 2/3 最终结果、0x340000 边界 trace</w:t>
            </w:r>
          </w:p>
        </w:tc>
      </w:tr>
      <w:tr>
        <w:tc>
          <w:tcPr>
            <w:tcW w:w="18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断电恢复</w:t>
            </w:r>
          </w:p>
        </w:tc>
        <w:tc>
          <w:tcPr>
            <w:tcW w:w="82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擦除、每页写、TransferExit、校验、invalid/valid、清重编程请求的逐时间点断电</w:t>
            </w:r>
          </w:p>
        </w:tc>
      </w:tr>
      <w:tr>
        <w:tc>
          <w:tcPr>
            <w:tcW w:w="18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安全</w:t>
            </w:r>
          </w:p>
        </w:tc>
        <w:tc>
          <w:tcPr>
            <w:tcW w:w="82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错 key、错 Hash、错签名、截断、回滚、短 CAN 帧、越界/溢出、并发 job 和 HSM 超时</w:t>
            </w:r>
          </w:p>
        </w:tc>
      </w:tr>
      <w:tr>
        <w:tc>
          <w:tcPr>
            <w:tcW w:w="18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兼容性</w:t>
            </w:r>
          </w:p>
        </w:tc>
        <w:tc>
          <w:tcPr>
            <w:tcW w:w="82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当前全部量产升级包、烧录工具、诊断脚本和启动目标与当前 ELF 对比</w:t>
            </w:r>
          </w:p>
        </w:tc>
      </w:tr>
    </w:tbl>
    <w:p>
      <w:pPr>
        <w:spacing w:after="30" w:line="180" w:lineRule="auto"/>
      </w:pPr>
      <w:r>
        <w:rPr>
          <w:rFonts w:ascii="Aptos" w:hAnsi="Aptos" w:eastAsia="Microsoft YaHei"/>
        </w:rPr>
        <w:t xml:space="preserve"/>
      </w:r>
    </w:p>
    <w:p>
      <w:pPr>
        <w:pStyle w:val="Heading2"/>
        <w:keepNext/>
        <w:spacing w:after="140" w:line="330" w:lineRule="auto"/>
      </w:pPr>
      <w:r>
        <w:rPr>
          <w:rFonts w:ascii="Aptos" w:hAnsi="Aptos" w:eastAsia="Microsoft YaHei"/>
        </w:rPr>
        <w:t xml:space="preserve">10.3 接受准则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除批准差异外，启动目标、UDS 响应、NRC、pending 行为、CAN 接口和持久状态一致。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任一未完整验证的镜像都不能被提交 valid 或由 BM 启动。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ImageM 不直接擦写 NVM；Fee 事务保持全部非目标逻辑数据。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所有 TBC 关闭，零个未批准兼容差异，零个开放安全高危/严重缺陷。</w:t>
      </w:r>
    </w:p>
    <w:p>
      <w:pPr>
        <w:spacing w:after="65" w:line="300" w:lineRule="auto"/>
        <w:ind w:left="360" w:firstLine="-240"/>
      </w:pPr>
      <w:r>
        <w:rPr>
          <w:rFonts w:ascii="Aptos" w:hAnsi="Aptos" w:eastAsia="Microsoft YaHei"/>
        </w:rPr>
        <w:t xml:space="preserve">• 客户环境可独立复现构建、烧录、升级、差分测试和故障恢复。</w:t>
      </w:r>
    </w:p>
    <w:p>
      <w:pPr>
        <w:pStyle w:val="Heading1"/>
        <w:keepNext/>
        <w:pageBreakBefore/>
        <w:spacing w:after="140" w:line="330" w:lineRule="auto"/>
      </w:pPr>
      <w:r>
        <w:rPr>
          <w:rFonts w:ascii="Aptos" w:hAnsi="Aptos" w:eastAsia="Microsoft YaHei"/>
        </w:rPr>
        <w:t xml:space="preserve">11. 结论与后续工作</w:t>
      </w:r>
    </w:p>
    <w:p>
      <w:pPr>
        <w:spacing w:after="120" w:line="330" w:lineRule="auto"/>
      </w:pPr>
      <w:r>
        <w:rPr>
          <w:rFonts w:ascii="Aptos" w:hAnsi="Aptos" w:eastAsia="Microsoft YaHei"/>
        </w:rPr>
        <w:t xml:space="preserve">本文件足以支持供应商开展 BM/PBL 总体方案、模块划分、接口评审和项目估算。为了开发出与当前 BM/PBL 功能一致且异常路径更安全的量产实现，供应商仍需以 V3.1 详细设计为行为基线，并完成第 9 节接口冻结。</w:t>
      </w:r>
    </w:p>
    <w:tbl>
      <w:tblPr>
        <w:tblW w:w="10000" w:type="dxa"/>
        <w:tblLayout w:type="fixed"/>
        <w:tblBorders>
          <w:top w:val="single" w:sz="6" w:color="4D8957"/>
          <w:left w:val="single" w:sz="6" w:color="4D8957"/>
          <w:bottom w:val="single" w:sz="6" w:color="4D8957"/>
          <w:right w:val="single" w:sz="6" w:color="4D8957"/>
          <w:insideH w:val="single" w:sz="4" w:color="4D8957"/>
          <w:insideV w:val="single" w:sz="4" w:color="4D8957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0000"/>
      </w:tblGrid>
      <w:tr>
        <w:tc>
          <w:tcPr>
            <w:tcW w:w="10000" w:type="dxa"/>
            <w:shd w:fill="EAF4EC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26323B"/>
                <w:sz w:val="18"/>
                <w:szCs w:val="18"/>
              </w:rPr>
              <w:t xml:space="preserve">最终等效判据</w:t>
            </w:r>
          </w:p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不是代码结构相似，也不是仅通过正常升级；而是在同一 ECU/HIL 上对当前 ELF 与供应商 ELF 施加相同输入，比较启动目标、CAN/UDS、Flash/NvM、共享状态、安全结果和所有关键掉电点。</w:t>
            </w:r>
          </w:p>
        </w:tc>
      </w:tr>
    </w:tbl>
    <w:p>
      <w:pPr>
        <w:spacing w:after="30" w:line="180" w:lineRule="auto"/>
      </w:pPr>
      <w:r>
        <w:rPr>
          <w:rFonts w:ascii="Aptos" w:hAnsi="Aptos" w:eastAsia="Microsoft YaHei"/>
        </w:rPr>
        <w:t xml:space="preserve"/>
      </w:r>
    </w:p>
    <w:p>
      <w:pPr>
        <w:spacing w:after="40" w:line="200" w:lineRule="auto"/>
      </w:pPr>
      <w:r>
        <w:rPr>
          <w:rFonts w:ascii="Aptos" w:hAnsi="Aptos" w:eastAsia="Microsoft YaHei"/>
        </w:rPr>
        <w:t xml:space="preserve"/>
      </w:r>
    </w:p>
    <w:p>
      <w:pPr>
        <w:pStyle w:val="Heading2"/>
        <w:keepNext/>
        <w:spacing w:after="140" w:line="330" w:lineRule="auto"/>
      </w:pPr>
      <w:r>
        <w:rPr>
          <w:rFonts w:ascii="Aptos" w:hAnsi="Aptos" w:eastAsia="Microsoft YaHei"/>
        </w:rPr>
        <w:t xml:space="preserve">后续文档层级</w:t>
      </w:r>
    </w:p>
    <w:tbl>
      <w:tblPr>
        <w:tblW w:w="10000" w:type="dxa"/>
        <w:tblLayout w:type="fixed"/>
        <w:tblBorders>
          <w:top w:val="single" w:sz="6" w:color="CBD3D9"/>
          <w:left w:val="single" w:sz="6" w:color="CBD3D9"/>
          <w:bottom w:val="single" w:sz="6" w:color="CBD3D9"/>
          <w:right w:val="single" w:sz="6" w:color="CBD3D9"/>
          <w:insideH w:val="single" w:sz="4" w:color="CBD3D9"/>
          <w:insideV w:val="single" w:sz="4" w:color="CBD3D9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800"/>
        <w:gridCol w:w="4500"/>
        <w:gridCol w:w="3700"/>
      </w:tblGrid>
      <w:tr>
        <w:trPr>
          <w:tblHeader/>
        </w:trPr>
        <w:tc>
          <w:tcPr>
            <w:tcW w:w="18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w="45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文档/活动</w:t>
            </w:r>
          </w:p>
        </w:tc>
        <w:tc>
          <w:tcPr>
            <w:tcW w:w="3700" w:type="dxa"/>
            <w:shd w:fill="1A2E44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b/>
                <w:color w:val="FFFFFF"/>
                <w:sz w:val="18"/>
                <w:szCs w:val="18"/>
              </w:rPr>
              <w:t xml:space="preserve">输出</w:t>
            </w:r>
          </w:p>
        </w:tc>
      </w:tr>
      <w:tr>
        <w:tc>
          <w:tcPr>
            <w:tcW w:w="18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当前</w:t>
            </w:r>
          </w:p>
        </w:tc>
        <w:tc>
          <w:tcPr>
            <w:tcW w:w="4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本总体设计评审</w:t>
            </w:r>
          </w:p>
        </w:tc>
        <w:tc>
          <w:tcPr>
            <w:tcW w:w="37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架构、职责、主流程、内存与最低要求一致</w:t>
            </w:r>
          </w:p>
        </w:tc>
      </w:tr>
      <w:tr>
        <w:tc>
          <w:tcPr>
            <w:tcW w:w="18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接口冻结</w:t>
            </w:r>
          </w:p>
        </w:tc>
        <w:tc>
          <w:tcPr>
            <w:tcW w:w="45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诊断、镜像、Flash/NvM、HSM、时序专题评审</w:t>
            </w:r>
          </w:p>
        </w:tc>
        <w:tc>
          <w:tcPr>
            <w:tcW w:w="37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签字版接口冻结清单</w:t>
            </w:r>
          </w:p>
        </w:tc>
      </w:tr>
      <w:tr>
        <w:tc>
          <w:tcPr>
            <w:tcW w:w="18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详细设计</w:t>
            </w:r>
          </w:p>
        </w:tc>
        <w:tc>
          <w:tcPr>
            <w:tcW w:w="45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供应商 BM/PBL 详细设计与当前 V3.1 对照</w:t>
            </w:r>
          </w:p>
        </w:tc>
        <w:tc>
          <w:tcPr>
            <w:tcW w:w="3700" w:type="dxa"/>
            <w:shd w:fill="FFFFFF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状态机、接口、异常路径和差异矩阵</w:t>
            </w:r>
          </w:p>
        </w:tc>
      </w:tr>
      <w:tr>
        <w:tc>
          <w:tcPr>
            <w:tcW w:w="18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实现验证</w:t>
            </w:r>
          </w:p>
        </w:tc>
        <w:tc>
          <w:tcPr>
            <w:tcW w:w="45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单元/集成/HIL/安全/掉电/差分</w:t>
            </w:r>
          </w:p>
        </w:tc>
        <w:tc>
          <w:tcPr>
            <w:tcW w:w="3700" w:type="dxa"/>
            <w:shd w:fill="F2F5F7"/>
          </w:tcPr>
          <w:p>
            <w:pPr>
              <w:spacing w:after="0" w:line="260" w:lineRule="auto"/>
            </w:pPr>
            <w:r>
              <w:rPr>
                <w:rFonts w:ascii="Aptos" w:hAnsi="Aptos" w:eastAsia="Microsoft YaHei"/>
                <w:color w:val="26323B"/>
                <w:sz w:val="18"/>
                <w:szCs w:val="18"/>
              </w:rPr>
              <w:t xml:space="preserve">可复现证据和量产接受报告</w:t>
            </w:r>
          </w:p>
        </w:tc>
      </w:tr>
    </w:tbl>
    <w:p>
      <w:pPr>
        <w:spacing w:after="30" w:line="180" w:lineRule="auto"/>
      </w:pPr>
      <w:r>
        <w:rPr>
          <w:rFonts w:ascii="Aptos" w:hAnsi="Aptos" w:eastAsia="Microsoft YaHei"/>
        </w:rPr>
        <w:t xml:space="preserve"/>
      </w:r>
    </w:p>
    <w:p>
      <w:pPr>
        <w:jc w:val="center"/>
        <w:spacing w:before="400" w:after="0" w:line="330" w:lineRule="auto"/>
      </w:pPr>
      <w:r>
        <w:rPr>
          <w:rFonts w:ascii="Aptos" w:hAnsi="Aptos" w:eastAsia="Microsoft YaHei"/>
          <w:b/>
          <w:color w:val="5B6770"/>
          <w:sz w:val="20"/>
          <w:szCs w:val="20"/>
        </w:rPr>
        <w:t xml:space="preserve">— 文档结束 —</w:t>
      </w:r>
    </w:p>
    <w:sectPr>
      <w:headerReference w:type="default" r:id="rId3"/>
      <w:headerReference w:type="first" r:id="rId4"/>
      <w:footerReference w:type="default" r:id="rId5"/>
      <w:titlePg/>
      <w:pgSz w:w="11906" w:h="16838"/>
      <w:pgMar w:top="1020" w:right="1020" w:bottom="1134" w:left="1020" w:header="480" w:footer="480" w:gutter="0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jc w:val="center"/>
      <w:pBdr>
        <w:top w:val="single" w:sz="4" w:space="4" w:color="CBD3D9"/>
      </w:pBdr>
    </w:pPr>
    <w:r>
      <w:rPr>
        <w:rFonts w:ascii="Aptos" w:hAnsi="Aptos" w:eastAsia="Microsoft YaHei"/>
        <w:color w:val="5B6770"/>
        <w:sz w:val="16"/>
        <w:szCs w:val="16"/>
      </w:rPr>
      <w:t xml:space="preserve">内部/供应商受控资料  |  第 </w:t>
    </w:r>
    <w:r>
      <w:fldChar w:fldCharType="begin"/>
    </w:r>
    <w:r>
      <w:instrText> PAGE </w:instrText>
    </w:r>
    <w:r>
      <w:fldChar w:fldCharType="end"/>
    </w:r>
    <w:r>
      <w:rPr>
        <w:rFonts w:ascii="Aptos" w:hAnsi="Aptos" w:eastAsia="Microsoft YaHei"/>
        <w:color w:val="5B6770"/>
        <w:sz w:val="16"/>
        <w:szCs w:val="16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sz="6" w:space="4" w:color="CBD3D9"/>
      </w:pBdr>
      <w:spacing w:after="40"/>
    </w:pPr>
    <w:r>
      <w:rPr>
        <w:rFonts w:ascii="Aptos" w:hAnsi="Aptos" w:eastAsia="Microsoft YaHei"/>
        <w:b/>
        <w:color w:val="1A2E44"/>
        <w:sz w:val="18"/>
        <w:szCs w:val="18"/>
      </w:rPr>
      <w:t xml:space="preserve">CR60 Light BYD Bootloader 供应商总体设计</w:t>
    </w:r>
  </w:p>
</w:hdr>
</file>

<file path=word/header2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updateFields w:val="true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color w:val="26323B"/>
        <w:sz w:val="21"/>
        <w:szCs w:val="21"/>
      </w:rPr>
    </w:rPrDefault>
    <w:pPrDefault>
      <w:pPr>
        <w:spacing w:after="120" w:line="33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jc w:val="center"/>
      <w:spacing w:before="180" w:after="160"/>
    </w:pPr>
    <w:rPr>
      <w:rFonts w:eastAsia="Microsoft YaHei"/>
      <w:b/>
      <w:color w:val="1A2E44"/>
      <w:sz w:val="54"/>
      <w:szCs w:val="54"/>
    </w:rPr>
  </w:style>
  <w:style w:type="paragraph" w:styleId="Subtitle">
    <w:name w:val="Subtitle"/>
    <w:basedOn w:val="Normal"/>
    <w:next w:val="Normal"/>
    <w:qFormat/>
    <w:pPr>
      <w:jc w:val="center"/>
      <w:spacing w:after="100"/>
    </w:pPr>
    <w:rPr>
      <w:rFonts w:eastAsia="Microsoft YaHei"/>
      <w:color w:val="38709F"/>
      <w:sz w:val="30"/>
      <w:szCs w:val="30"/>
    </w:rPr>
  </w:style>
  <w:style w:type="paragraph" w:styleId="Heading1">
    <w:name w:val="heading 1"/>
    <w:basedOn w:val="Normal"/>
    <w:next w:val="Normal"/>
    <w:qFormat/>
    <w:uiPriority w:val="9"/>
    <w:pPr>
      <w:keepNext/>
      <w:keepLines/>
      <w:spacing w:before="300" w:after="140"/>
      <w:outlineLvl w:val="0"/>
      <w:pBdr>
        <w:bottom w:val="single" w:sz="10" w:color="38709F" w:space="5"/>
      </w:pBdr>
    </w:pPr>
    <w:rPr>
      <w:rFonts w:eastAsia="Microsoft YaHei"/>
      <w:b/>
      <w:color w:val="1A2E44"/>
      <w:sz w:val="34"/>
      <w:szCs w:val="34"/>
    </w:rPr>
  </w:style>
  <w:style w:type="paragraph" w:styleId="Heading2">
    <w:name w:val="heading 2"/>
    <w:basedOn w:val="Normal"/>
    <w:next w:val="Normal"/>
    <w:qFormat/>
    <w:uiPriority w:val="9"/>
    <w:pPr>
      <w:keepNext/>
      <w:keepLines/>
      <w:spacing w:before="220" w:after="100"/>
      <w:outlineLvl w:val="1"/>
    </w:pPr>
    <w:rPr>
      <w:rFonts w:eastAsia="Microsoft YaHei"/>
      <w:b/>
      <w:color w:val="38709F"/>
      <w:sz w:val="27"/>
      <w:szCs w:val="27"/>
    </w:rPr>
  </w:style>
  <w:style w:type="paragraph" w:styleId="Heading3">
    <w:name w:val="heading 3"/>
    <w:basedOn w:val="Normal"/>
    <w:next w:val="Normal"/>
    <w:qFormat/>
    <w:uiPriority w:val="9"/>
    <w:pPr>
      <w:keepNext/>
      <w:keepLines/>
      <w:spacing w:before="160" w:after="80"/>
      <w:outlineLvl w:val="2"/>
    </w:pPr>
    <w:rPr>
      <w:rFonts w:eastAsia="Microsoft YaHei"/>
      <w:b/>
      <w:color w:val="27858A"/>
      <w:sz w:val="23"/>
      <w:szCs w:val="23"/>
    </w:rPr>
  </w:style>
  <w:style w:type="paragraph" w:styleId="Caption">
    <w:name w:val="caption"/>
    <w:basedOn w:val="Normal"/>
    <w:next w:val="Normal"/>
    <w:qFormat/>
    <w:pPr>
      <w:jc w:val="center"/>
      <w:spacing w:after="140"/>
    </w:pPr>
    <w:rPr>
      <w:i/>
      <w:color w:val="5B6770"/>
      <w:sz w:val="18"/>
      <w:szCs w:val="18"/>
    </w:rPr>
  </w:style>
  <w:style w:type="paragraph" w:styleId="TOCHeading">
    <w:name w:val="TOC Heading"/>
    <w:basedOn w:val="Heading1"/>
    <w:next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  <Company>Project Team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CR60 Light BYD Bootloader（BM + PBL）供应商总体架构与设计要求</dc:title>
  <dc:subject>供应商 BM/PBL 开发总体设计输入</dc:subject>
  <dc:creator>项目组</dc:creator>
  <cp:keywords>Bootloader; BM; PBL; UDS; Flash; NVM; Supplier</cp:keywords>
  <dc:description>由无源码 ELF 静态逆向详细设计文档提炼的总体设计版。</dc:description>
  <cp:revision>1</cp:revision>
  <dcterms:created xsi:type="dcterms:W3CDTF">2026-07-20T00:00:00Z</dcterms:created>
  <dcterms:modified xsi:type="dcterms:W3CDTF">2026-07-20T00:00:00Z</dcterms:modified>
</cp:coreProperties>
</file>