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left"/>
      </w:pPr>
      <w:r>
        <w:rPr>
          <w:rFonts w:ascii="Helvetica Neue" w:cs="Helvetica Neue" w:eastAsia="Helvetica Neue" w:hAnsi="Helvetica Neue"/>
          <w:b/>
          <w:bCs/>
          <w:color w:val="000000"/>
          <w:sz w:val="48"/>
          <w:szCs w:val="48"/>
        </w:rPr>
        <w:t xml:space="preserve">AI Prompt Firewall — Phase 2 Specification</w:t>
      </w:r>
    </w:p>
    <w:p>
      <w:pPr>
        <w:spacing w:after="40" w:before="0" w:line="260"/>
        <w:jc w:val="left"/>
      </w:pPr>
      <w:r>
        <w:rPr>
          <w:rFonts w:ascii="Helvetica Neue" w:cs="Helvetica Neue" w:eastAsia="Helvetica Neue" w:hAnsi="Helvetica Neue"/>
          <w:color w:val="333333"/>
          <w:sz w:val="24"/>
          <w:szCs w:val="24"/>
        </w:rPr>
        <w:t xml:space="preserve">Synthetic dataset construction</w:t>
      </w:r>
    </w:p>
    <w:p>
      <w:pPr>
        <w:spacing w:after="0" w:before="0" w:line="260"/>
        <w:jc w:val="left"/>
      </w:pPr>
      <w:r>
        <w:rPr>
          <w:rFonts w:ascii="Helvetica Neue" w:cs="Helvetica Neue" w:eastAsia="Helvetica Neue" w:hAnsi="Helvetica Neue"/>
          <w:color w:val="333333"/>
          <w:sz w:val="20"/>
          <w:szCs w:val="20"/>
        </w:rPr>
        <w:t xml:space="preserve">Indirect prompt-injection classifier for RAG document ingestion</w:t>
      </w:r>
    </w:p>
    <w:p>
      <w:pPr>
        <w:spacing w:after="0" w:before="0" w:line="260"/>
        <w:jc w:val="left"/>
      </w:pPr>
      <w:r>
        <w:rPr>
          <w:rFonts w:ascii="Helvetica Neue" w:cs="Helvetica Neue" w:eastAsia="Helvetica Neue" w:hAnsi="Helvetica Neue"/>
          <w:color w:val="333333"/>
          <w:sz w:val="20"/>
          <w:szCs w:val="20"/>
        </w:rPr>
        <w:t xml:space="preserve">Final-year BSc Cybersecurity thesis — Bayero University Kano</w:t>
      </w:r>
    </w:p>
    <w:p>
      <w:pPr>
        <w:spacing w:after="320" w:before="0" w:line="260"/>
        <w:jc w:val="left"/>
      </w:pPr>
      <w:r>
        <w:rPr>
          <w:rFonts w:ascii="Helvetica Neue" w:cs="Helvetica Neue" w:eastAsia="Helvetica Neue" w:hAnsi="Helvetica Neue"/>
          <w:color w:val="333333"/>
          <w:sz w:val="20"/>
          <w:szCs w:val="20"/>
        </w:rPr>
        <w:t xml:space="preserve">Kamaludeen Abdulkadir — CST/22/CBS/00753</w:t>
      </w:r>
    </w:p>
    <w:p>
      <w:pPr>
        <w:spacing w:after="120" w:before="120" w:line="276"/>
        <w:jc w:val="both"/>
      </w:pPr>
      <w:r>
        <w:rPr>
          <w:rFonts w:ascii="Helvetica Neue" w:cs="Helvetica Neue" w:eastAsia="Helvetica Neue" w:hAnsi="Helvetica Neue"/>
          <w:i w:val="false"/>
          <w:iCs w:val="false"/>
          <w:color w:val="333333"/>
          <w:sz w:val="22"/>
          <w:szCs w:val="22"/>
        </w:rPr>
        <w:t xml:space="preserve">This document specifies Phase 2: the labelled corpus of benign and indirect-injection-bearing documents that Stage 2 is fine-tuned on and that every later phase is measured against. It records the dataset format decision and its reasoning, the composition and class design, the record schema, the split strategy, and the limitations the evaluation chapter will have to state. No detection code is written in this phase.</w:t>
      </w:r>
    </w:p>
    <w:p>
      <w:pPr>
        <w:pStyle w:val="Heading1"/>
        <w:spacing w:after="120" w:before="360" w:line="240"/>
        <w:jc w:val="left"/>
      </w:pPr>
      <w:r>
        <w:rPr>
          <w:rFonts w:ascii="Helvetica Neue" w:cs="Helvetica Neue" w:eastAsia="Helvetica Neue" w:hAnsi="Helvetica Neue"/>
          <w:b/>
          <w:bCs/>
          <w:color w:val="000000"/>
          <w:sz w:val="36"/>
          <w:szCs w:val="36"/>
        </w:rPr>
        <w:t xml:space="preserve">1. Scope of Phase 2</w:t>
      </w:r>
    </w:p>
    <w:p>
      <w:pPr>
        <w:pStyle w:val="Heading2"/>
        <w:spacing w:after="80" w:before="240" w:line="240"/>
        <w:jc w:val="left"/>
      </w:pPr>
      <w:r>
        <w:rPr>
          <w:rFonts w:ascii="Helvetica Neue" w:cs="Helvetica Neue" w:eastAsia="Helvetica Neue" w:hAnsi="Helvetica Neue"/>
          <w:b/>
          <w:bCs/>
          <w:color w:val="000000"/>
          <w:sz w:val="28"/>
          <w:szCs w:val="28"/>
        </w:rPr>
        <w:t xml:space="preserve">1.1 In scope</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canonical labelled corpus of 800 documents, each within the word cap, English only.</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Six indirect-injection techniques and four benign classes, each tagged per record.</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separate 60-document challenge set built from document types held out of training.</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deterministic, seeded generator, so the exact corpus can be rebuilt from the repository.</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Train, validation and test splits, plus the two flat export files the Colab script expects.</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shared metadata-serialisation function used by both the export and Phase 5 inference.</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token-ceiling build gate using the real Stage 2 tokenizer.</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 dataset manifest with checksums, and a dataset card documenting construction.</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An integrity test suite covering schema, leakage, balance and determinism.</w:t>
      </w:r>
    </w:p>
    <w:p>
      <w:pPr>
        <w:pStyle w:val="Heading2"/>
        <w:spacing w:after="80" w:before="240" w:line="240"/>
        <w:jc w:val="left"/>
      </w:pPr>
      <w:r>
        <w:rPr>
          <w:rFonts w:ascii="Helvetica Neue" w:cs="Helvetica Neue" w:eastAsia="Helvetica Neue" w:hAnsi="Helvetica Neue"/>
          <w:b/>
          <w:bCs/>
          <w:color w:val="000000"/>
          <w:sz w:val="28"/>
          <w:szCs w:val="28"/>
        </w:rPr>
        <w:t xml:space="preserve">1.2 Not in scope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4600"/>
        <w:gridCol w:w="4040"/>
      </w:tblGrid>
      <w:tr>
        <w:trPr>
          <w:tblHeader/>
        </w:trPr>
        <w:tc>
          <w:tcPr>
            <w:tcW w:type="dxa" w:w="46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Item</w:t>
            </w:r>
          </w:p>
        </w:tc>
        <w:tc>
          <w:tcPr>
            <w:tcW w:type="dxa" w:w="4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Status</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Any detection logic, heuristic or model</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3 and Phase 5</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Fine-tuning, or any training run</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4, off-repo on Google Colab</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Evaluation metrics against Rebuff</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6</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Direct chat-turn injection examples</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as training data — a baseline comparison point only</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Adversarial instructional-prompt attacks</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 attacks the RAG prompt template, a different surface</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RAG jamming / blocker documents</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 denial of service, a different threat class</w:t>
            </w:r>
          </w:p>
        </w:tc>
      </w:tr>
      <w:tr>
        <w:tc>
          <w:tcPr>
            <w:tcW w:type="dxa" w:w="4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Non-English documents</w:t>
            </w:r>
          </w:p>
        </w:tc>
        <w:tc>
          <w:tcPr>
            <w:tcW w:type="dxa" w:w="4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constraint</w:t>
            </w:r>
          </w:p>
        </w:tc>
      </w:tr>
      <w:tr>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Image, audio or other non-text payloads</w:t>
            </w:r>
          </w:p>
        </w:tc>
        <w:tc>
          <w:tcPr>
            <w:tcW w:type="dxa" w:w="4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Excluded by constraint</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2. Dataset format: the decision</w:t>
      </w:r>
    </w:p>
    <w:p>
      <w:pPr>
        <w:spacing w:after="120" w:before="120" w:line="276"/>
        <w:jc w:val="both"/>
      </w:pPr>
      <w:r>
        <w:rPr>
          <w:rFonts w:ascii="Helvetica Neue" w:cs="Helvetica Neue" w:eastAsia="Helvetica Neue" w:hAnsi="Helvetica Neue"/>
          <w:i w:val="false"/>
          <w:iCs w:val="false"/>
          <w:color w:val="333333"/>
          <w:sz w:val="22"/>
          <w:szCs w:val="22"/>
        </w:rPr>
        <w:t xml:space="preserve">The project reference specifies two different formats. Section 11 asks Phase 2 for JSONL. Section 8's fine-tuning brief loads dataset_train.json and dataset_val.json as JSON with exactly the keys text and label, and states that those filenames and keys must match what Phase 2 produces. These are not reconcilable by choosing one.</w:t>
      </w:r>
    </w:p>
    <w:p>
      <w:pPr>
        <w:spacing w:after="120" w:before="120" w:line="276"/>
        <w:jc w:val="both"/>
      </w:pPr>
      <w:r>
        <w:rPr>
          <w:rFonts w:ascii="Helvetica Neue" w:cs="Helvetica Neue" w:eastAsia="Helvetica Neue" w:hAnsi="Helvetica Neue"/>
          <w:b/>
          <w:bCs/>
          <w:color w:val="333333"/>
          <w:sz w:val="22"/>
          <w:szCs w:val="22"/>
        </w:rPr>
        <w:t xml:space="preserve">Resolution: both files exist, and neither is maintained by hand. </w:t>
      </w:r>
      <w:r>
        <w:rPr>
          <w:rFonts w:ascii="Helvetica Neue" w:cs="Helvetica Neue" w:eastAsia="Helvetica Neue" w:hAnsi="Helvetica Neue"/>
          <w:b w:val="false"/>
          <w:bCs w:val="false"/>
          <w:color w:val="333333"/>
          <w:sz w:val="22"/>
          <w:szCs w:val="22"/>
        </w:rPr>
        <w:t xml:space="preserve">One canonical source of truth, with the model-ready files generated from it. This is the standard raw, curated and consumption layering used throughout data engineering, and the same pattern the Hugging Face datasets library follows when a canonical dataset is mapped into model-specific features.</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1900"/>
        <w:gridCol w:w="2100"/>
        <w:gridCol w:w="4640"/>
      </w:tblGrid>
      <w:tr>
        <w:trPr>
          <w:tblHeader/>
        </w:trPr>
        <w:tc>
          <w:tcPr>
            <w:tcW w:type="dxa" w:w="19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Artifact</w:t>
            </w:r>
          </w:p>
        </w:tc>
        <w:tc>
          <w:tcPr>
            <w:tcW w:type="dxa" w:w="21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Role</w:t>
            </w:r>
          </w:p>
        </w:tc>
        <w:tc>
          <w:tcPr>
            <w:tcW w:type="dxa" w:w="46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Reasoning</w:t>
            </w:r>
          </w:p>
        </w:tc>
      </w:tr>
      <w:tr>
        <w:tc>
          <w:tcPr>
            <w:tcW w:type="dxa" w:w="19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data/v1/corpus.jsonl</w:t>
            </w:r>
          </w:p>
        </w:tc>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Canonical. Rich schema, one record per line.</w:t>
            </w:r>
          </w:p>
        </w:tc>
        <w:tc>
          <w:tcPr>
            <w:tcW w:type="dxa" w:w="4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Line-delimited JSON means adding an example is a one-line change in review, whereas a JSON array reflows on every insert and makes a dataset diff unreadable. It streams without a whole-file parse, and it is read natively by the Hugging Face loader, so the rich schema stays reachable from Colab if it is ever wanted there.</w:t>
            </w:r>
          </w:p>
        </w:tc>
      </w:tr>
      <w:tr>
        <w:tc>
          <w:tcPr>
            <w:tcW w:type="dxa" w:w="1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data/v1/export/*.json</w:t>
            </w:r>
          </w:p>
        </w:tc>
        <w:tc>
          <w:tcPr>
            <w:tcW w:type="dxa" w:w="21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Derived. Flat, two keys, exact filenames.</w:t>
            </w:r>
          </w:p>
        </w:tc>
        <w:tc>
          <w:tcPr>
            <w:tcW w:type="dxa" w:w="46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fine-tuning script is already written and specifies these filenames and keys. Rewriting a settled specification to accommodate a file format is backwards; generating what it asks for costs roughly forty lines and leaves that script untouched.</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Every consumer other than the model reads the canonical file and keeps the rich fields: the Phase 3 heuristics, the Phase 6 evaluation harness, and the per-technique breakdown the evaluation chapter needs. Only the classifier ever sees the stripped two-key view. The export files are regenerable from the canonical corpus with a single command and are checksummed in the manifest.</w:t>
      </w:r>
    </w:p>
    <w:p>
      <w:pPr>
        <w:pStyle w:val="Heading2"/>
        <w:spacing w:after="80" w:before="240" w:line="240"/>
        <w:jc w:val="left"/>
      </w:pPr>
      <w:r>
        <w:rPr>
          <w:rFonts w:ascii="Helvetica Neue" w:cs="Helvetica Neue" w:eastAsia="Helvetica Neue" w:hAnsi="Helvetica Neue"/>
          <w:b/>
          <w:bCs/>
          <w:color w:val="000000"/>
          <w:sz w:val="28"/>
          <w:szCs w:val="28"/>
        </w:rPr>
        <w:t xml:space="preserve">2.1 A third split the fine-tuning brief does not name</w:t>
      </w:r>
    </w:p>
    <w:p>
      <w:pPr>
        <w:spacing w:after="120" w:before="120" w:line="276"/>
        <w:jc w:val="both"/>
      </w:pPr>
      <w:r>
        <w:rPr>
          <w:rFonts w:ascii="Helvetica Neue" w:cs="Helvetica Neue" w:eastAsia="Helvetica Neue" w:hAnsi="Helvetica Neue"/>
          <w:i w:val="false"/>
          <w:iCs w:val="false"/>
          <w:color w:val="333333"/>
          <w:sz w:val="22"/>
          <w:szCs w:val="22"/>
        </w:rPr>
        <w:t xml:space="preserve">Section 8 names only train and validation. The project's fourth objective requires evaluation against a held-out test set. These are not the same thing: the Colab configuration sets load_best_model_at_end on validation F1, which makes the validation split a model-selection set. Its metrics are therefore optimistically biased, and reporting them as the headline result would be methodologically wrong and is the kind of detail an examiner probes.</w:t>
      </w:r>
    </w:p>
    <w:p>
      <w:pPr>
        <w:spacing w:after="120" w:before="120" w:line="276"/>
        <w:jc w:val="both"/>
      </w:pPr>
      <w:r>
        <w:rPr>
          <w:rFonts w:ascii="Helvetica Neue" w:cs="Helvetica Neue" w:eastAsia="Helvetica Neue" w:hAnsi="Helvetica Neue"/>
          <w:i w:val="false"/>
          <w:iCs w:val="false"/>
          <w:color w:val="333333"/>
          <w:sz w:val="22"/>
          <w:szCs w:val="22"/>
        </w:rPr>
        <w:t xml:space="preserve">Phase 2 therefore produces three splits. Train and validation are exported to Colab. The test split never leaves the repository until Phase 6, untouched by fine-tuning or by checkpoint selection.</w:t>
      </w:r>
    </w:p>
    <w:p>
      <w:pPr>
        <w:pStyle w:val="Heading1"/>
        <w:spacing w:after="120" w:before="360" w:line="240"/>
        <w:jc w:val="left"/>
      </w:pPr>
      <w:r>
        <w:rPr>
          <w:rFonts w:ascii="Helvetica Neue" w:cs="Helvetica Neue" w:eastAsia="Helvetica Neue" w:hAnsi="Helvetica Neue"/>
          <w:b/>
          <w:bCs/>
          <w:color w:val="000000"/>
          <w:sz w:val="36"/>
          <w:szCs w:val="36"/>
        </w:rPr>
        <w:t xml:space="preserve">3. Composition and balance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400"/>
        <w:gridCol w:w="5240"/>
      </w:tblGrid>
      <w:tr>
        <w:trPr>
          <w:tblHeader/>
        </w:trPr>
        <w:tc>
          <w:tcPr>
            <w:tcW w:type="dxa" w:w="34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Quantity</w:t>
            </w:r>
          </w:p>
        </w:tc>
        <w:tc>
          <w:tcPr>
            <w:tcW w:type="dxa" w:w="52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Value</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Total corpus</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800 documents</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Malicious (label 1)</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400, across six techniques</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Benign (label 0)</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400, across four classes</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Split ratio</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70 / 15 / 15, stratified by label, technique and benign class</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Train / validation / test</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560 / 120 / 120</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Challenge set</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60 documents, held-out scaffolds only, outside the 800</w:t>
            </w:r>
          </w:p>
        </w:tc>
      </w:tr>
      <w:tr>
        <w:tc>
          <w:tcPr>
            <w:tcW w:type="dxa" w:w="3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Document length</w:t>
            </w:r>
          </w:p>
        </w:tc>
        <w:tc>
          <w:tcPr>
            <w:tcW w:type="dxa" w:w="5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roughly 120 to 330 words; hard cap 350</w:t>
            </w:r>
          </w:p>
        </w:tc>
      </w:tr>
      <w:tr>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Language</w:t>
            </w:r>
          </w:p>
        </w:tc>
        <w:tc>
          <w:tcPr>
            <w:tcW w:type="dxa" w:w="52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English only</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Class balance is even. That is standard practice for training a binary classifier where both classes matter, but it is not the base rate a deployed filter would see, and section 13 records what that means for the reported precision.</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600"/>
        <w:gridCol w:w="2000"/>
        <w:gridCol w:w="3040"/>
      </w:tblGrid>
      <w:tr>
        <w:trPr>
          <w:tblHeader/>
        </w:trPr>
        <w:tc>
          <w:tcPr>
            <w:tcW w:type="dxa" w:w="36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Malicious technique (label 1)</w:t>
            </w:r>
          </w:p>
        </w:tc>
        <w:tc>
          <w:tcPr>
            <w:tcW w:type="dxa" w:w="2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Count</w:t>
            </w:r>
          </w:p>
        </w:tc>
        <w:tc>
          <w:tcPr>
            <w:tcW w:type="dxa" w:w="3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Share of malicious</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imperative_override</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68</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17.0%</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disguised_legitimate</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68</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17.0%</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hidden_text</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66</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16.5%</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encoded_payload</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66</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16.5%</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metadata_payload</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66</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16.5%</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conditioned_delayed</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66</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16.5%</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Total</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400</w:t>
            </w:r>
          </w:p>
        </w:tc>
        <w:tc>
          <w:tcPr>
            <w:tcW w:type="dxa" w:w="3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100%</w:t>
            </w:r>
          </w:p>
        </w:tc>
      </w:tr>
    </w:tbl>
    <w:p>
      <w:pPr>
        <w:spacing w:after="1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600"/>
        <w:gridCol w:w="2000"/>
        <w:gridCol w:w="3040"/>
      </w:tblGrid>
      <w:tr>
        <w:trPr>
          <w:tblHeader/>
        </w:trPr>
        <w:tc>
          <w:tcPr>
            <w:tcW w:type="dxa" w:w="36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Benign class (label 0)</w:t>
            </w:r>
          </w:p>
        </w:tc>
        <w:tc>
          <w:tcPr>
            <w:tcW w:type="dxa" w:w="2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Count</w:t>
            </w:r>
          </w:p>
        </w:tc>
        <w:tc>
          <w:tcPr>
            <w:tcW w:type="dxa" w:w="3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Share of benign</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ordinary</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100</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25%</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discusses_injection</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100</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25%</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lexical_decoy</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100</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25%</w:t>
            </w:r>
          </w:p>
        </w:tc>
      </w:tr>
      <w:tr>
        <w:tc>
          <w:tcPr>
            <w:tcW w:type="dxa" w:w="36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imperative_benign</w:t>
            </w:r>
          </w:p>
        </w:tc>
        <w:tc>
          <w:tcPr>
            <w:tcW w:type="dxa" w:w="2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100</w:t>
            </w:r>
          </w:p>
        </w:tc>
        <w:tc>
          <w:tcPr>
            <w:tcW w:type="dxa" w:w="3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25%</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Total</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400</w:t>
            </w:r>
          </w:p>
        </w:tc>
        <w:tc>
          <w:tcPr>
            <w:tcW w:type="dxa" w:w="3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100%</w:t>
            </w:r>
          </w:p>
        </w:tc>
      </w:tr>
    </w:tbl>
    <w:p>
      <w:pPr>
        <w:spacing w:after="120" w:before="120" w:line="276"/>
        <w:jc w:val="both"/>
      </w:pPr>
      <w:r>
        <w:rPr>
          <w:rFonts w:ascii="Helvetica Neue" w:cs="Helvetica Neue" w:eastAsia="Helvetica Neue" w:hAnsi="Helvetica Neue"/>
          <w:i w:val="false"/>
          <w:iCs w:val="false"/>
          <w:color w:val="333333"/>
          <w:sz w:val="22"/>
          <w:szCs w:val="22"/>
        </w:rPr>
        <w:t xml:space="preserve">The two disguised_legitimate and imperative_override categories carry two extra examples each simply because 400 does not divide evenly by six. They are the two techniques with the widest phrasing variation, so the surplus goes where it buys the most coverage.</w:t>
      </w:r>
    </w:p>
    <w:p>
      <w:pPr>
        <w:pStyle w:val="Heading1"/>
        <w:spacing w:after="120" w:before="360" w:line="240"/>
        <w:jc w:val="left"/>
      </w:pPr>
      <w:r>
        <w:rPr>
          <w:rFonts w:ascii="Helvetica Neue" w:cs="Helvetica Neue" w:eastAsia="Helvetica Neue" w:hAnsi="Helvetica Neue"/>
          <w:b/>
          <w:bCs/>
          <w:color w:val="000000"/>
          <w:sz w:val="36"/>
          <w:szCs w:val="36"/>
        </w:rPr>
        <w:t xml:space="preserve">4. Record schema</w:t>
      </w:r>
    </w:p>
    <w:p>
      <w:pPr>
        <w:spacing w:after="120" w:before="120" w:line="276"/>
        <w:jc w:val="both"/>
      </w:pPr>
      <w:r>
        <w:rPr>
          <w:rFonts w:ascii="Helvetica Neue" w:cs="Helvetica Neue" w:eastAsia="Helvetica Neue" w:hAnsi="Helvetica Neue"/>
          <w:i w:val="false"/>
          <w:iCs w:val="false"/>
          <w:color w:val="333333"/>
          <w:sz w:val="22"/>
          <w:szCs w:val="22"/>
        </w:rPr>
        <w:t xml:space="preserve">One JSON object per line in the canonical corpus. Fields that do not apply to a record are null rather than absent, so that every line has the same shape and a malformed record is obvious.</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100"/>
        <w:gridCol w:w="1500"/>
        <w:gridCol w:w="5040"/>
      </w:tblGrid>
      <w:tr>
        <w:trPr>
          <w:tblHeader/>
        </w:trPr>
        <w:tc>
          <w:tcPr>
            <w:tcW w:type="dxa" w:w="21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Field</w:t>
            </w:r>
          </w:p>
        </w:tc>
        <w:tc>
          <w:tcPr>
            <w:tcW w:type="dxa" w:w="15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Type</w:t>
            </w:r>
          </w:p>
        </w:tc>
        <w:tc>
          <w:tcPr>
            <w:tcW w:type="dxa" w:w="50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Notes</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id</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Stable identifier, for example mal-0042 or ben-0117. Referenced by the split files.</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text</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document body as a text extractor would deliver it.</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label</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integer</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0 clean, 1 injected. The only label the classifier sees.</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technique</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 or null</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One of the six techniques for a malicious record; null for a benign one.</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technique_note</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 or null</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One sentence on what the payload asks for and how it hides.</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benign_class</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 or null</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One of the four benign classes; null for a malicious record.</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metadata</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object</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Title, author, alt-text. Same shape as the ScanRequest metadata field.</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payload_location</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 or null</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body, metadata, or both.</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payload_visibility</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 or null</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plain, hidden_markup, or zero_width.</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scaffold</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Which document scaffold the example is built on.</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word_count</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integer</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Words in the body.</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token_count</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integer</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Tokens in the serialised text, measured with the Stage 2 tokenizer.</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split</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train, val, test, or challenge.</w:t>
            </w:r>
          </w:p>
        </w:tc>
      </w:tr>
      <w:tr>
        <w:tc>
          <w:tcPr>
            <w:tcW w:type="dxa" w:w="21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source</w:t>
            </w:r>
          </w:p>
        </w:tc>
        <w:tc>
          <w:tcPr>
            <w:tcW w:type="dxa" w:w="15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string</w:t>
            </w:r>
          </w:p>
        </w:tc>
        <w:tc>
          <w:tcPr>
            <w:tcW w:type="dxa" w:w="50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synthetic.</w:t>
            </w:r>
          </w:p>
        </w:tc>
      </w:tr>
      <w:tr>
        <w:tc>
          <w:tcPr>
            <w:tcW w:type="dxa" w:w="21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Menlo" w:cs="Menlo" w:eastAsia="Menlo" w:hAnsi="Menlo"/>
                <w:b w:val="false"/>
                <w:bCs w:val="false"/>
                <w:color w:val="333333"/>
                <w:sz w:val="18"/>
                <w:szCs w:val="18"/>
              </w:rPr>
              <w:t xml:space="preserve">schema_version</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integer</w:t>
            </w:r>
          </w:p>
        </w:tc>
        <w:tc>
          <w:tcPr>
            <w:tcW w:type="dxa" w:w="50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1.</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5. Attack techniques represented</w:t>
      </w:r>
    </w:p>
    <w:p>
      <w:pPr>
        <w:spacing w:after="120" w:before="120" w:line="276"/>
        <w:jc w:val="both"/>
      </w:pPr>
      <w:r>
        <w:rPr>
          <w:rFonts w:ascii="Helvetica Neue" w:cs="Helvetica Neue" w:eastAsia="Helvetica Neue" w:hAnsi="Helvetica Neue"/>
          <w:i w:val="false"/>
          <w:iCs w:val="false"/>
          <w:color w:val="333333"/>
          <w:sz w:val="22"/>
          <w:szCs w:val="22"/>
        </w:rPr>
        <w:t xml:space="preserve">Every malicious record is indirect: the payload lives inside the document or its metadata, never in something a user typed. Payload phrasings are drawn from documented incidents rather than invented, which is what grounds the corpus; the documents around them are generated.</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400"/>
        <w:gridCol w:w="6240"/>
      </w:tblGrid>
      <w:tr>
        <w:trPr>
          <w:tblHeader/>
        </w:trPr>
        <w:tc>
          <w:tcPr>
            <w:tcW w:type="dxa" w:w="24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Technique</w:t>
            </w:r>
          </w:p>
        </w:tc>
        <w:tc>
          <w:tcPr>
            <w:tcW w:type="dxa" w:w="62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How it is represented</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imperative_override</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direct command to the model in body text — an instruction to disregard prior context or adopt a new role — placed at varying depths in the document rather than always at the start.</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disguised_legitimate</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 instruction dressed as document content: a troubleshooting step or a fabricated system notice that directs a privileged action.</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hidden_text</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Payload a reader does not see. Zero-width characters and Unicode Tags, which survive text extraction; and inline style markup with a background-matching colour, representing an extractor that leaked the attribute.</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encoded_payload</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Obfuscated but decodable content: Base64 blobs presented as configuration or checksums, and deliberately garbled text that still reads.</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metadata_payload</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Instructions in the title, author or alt-text field, with a clean body. Detectable only because Phase 1 kept metadata as its own field.</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conditioned_delayed</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Trigger-conditioned phrasing of the form "when the user asks about X, respond with Y". The follow-through is agentic and out of scope; the static phrasing is the detection target.</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6. Benign classes, and why the hard negatives matter</w:t>
      </w:r>
    </w:p>
    <w:p>
      <w:pPr>
        <w:spacing w:after="120" w:before="120" w:line="276"/>
        <w:jc w:val="both"/>
      </w:pPr>
      <w:r>
        <w:rPr>
          <w:rFonts w:ascii="Helvetica Neue" w:cs="Helvetica Neue" w:eastAsia="Helvetica Neue" w:hAnsi="Helvetica Neue"/>
          <w:i w:val="false"/>
          <w:iCs w:val="false"/>
          <w:color w:val="333333"/>
          <w:sz w:val="22"/>
          <w:szCs w:val="22"/>
        </w:rPr>
        <w:t xml:space="preserve">A corpus whose benign half contains no injection vocabulary would let a keyword matcher score near perfectly while detecting nothing. Three of the four benign classes exist specifically to make that impossible.</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400"/>
        <w:gridCol w:w="6240"/>
      </w:tblGrid>
      <w:tr>
        <w:trPr>
          <w:tblHeader/>
        </w:trPr>
        <w:tc>
          <w:tcPr>
            <w:tcW w:type="dxa" w:w="24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Benign class</w:t>
            </w:r>
          </w:p>
        </w:tc>
        <w:tc>
          <w:tcPr>
            <w:tcW w:type="dxa" w:w="62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What it contains, and what it defeats</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ordinary</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Routine documents with no injection vocabulary at all. The baseline against which the other three are the interesting cases.</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discusses_injection</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Security training material, policy documents and incident write-ups that quote attack strings as examples. A keyword matcher flags every one of these.</w:t>
            </w:r>
          </w:p>
        </w:tc>
      </w:tr>
      <w:tr>
        <w:tc>
          <w:tcPr>
            <w:tcW w:type="dxa" w:w="24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lexical_decoy</w:t>
            </w:r>
          </w:p>
        </w:tc>
        <w:tc>
          <w:tcPr>
            <w:tcW w:type="dxa" w:w="62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Ordinary use of the vocabulary: ignore the third column, follow the instructions on page four, override the default timeout, the system of record.</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imperative_benign</w:t>
            </w:r>
          </w:p>
        </w:tc>
        <w:tc>
          <w:tcPr>
            <w:tcW w:type="dxa" w:w="62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Genuine runbooks and installation guides full of imperative commands. Structurally near-identical to the disguised_legitimate attack: what separates them is whom the instruction addresses and what it asks for, not its grammatical form. This is the single most important false-positive class, and the place Phase 3's heuristics should be expected to bleed.</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7. Serialising metadata for Stage 2</w:t>
      </w:r>
    </w:p>
    <w:p>
      <w:pPr>
        <w:spacing w:after="120" w:before="120" w:line="276"/>
        <w:jc w:val="both"/>
      </w:pPr>
      <w:r>
        <w:rPr>
          <w:rFonts w:ascii="Helvetica Neue" w:cs="Helvetica Neue" w:eastAsia="Helvetica Neue" w:hAnsi="Helvetica Neue"/>
          <w:i w:val="false"/>
          <w:iCs w:val="false"/>
          <w:color w:val="333333"/>
          <w:sz w:val="22"/>
          <w:szCs w:val="22"/>
        </w:rPr>
        <w:t xml:space="preserve">The classifier consumes one string, so metadata has to be joined to the body before tokenization. Phase 1 deferred this to Phase 5, but the export forces it now: the fine-tuning data is built from this join, and if Phase 5 invents a different one the deployed model sees a format it never trained on. It is settled here.</w:t>
      </w:r>
    </w:p>
    <w:p>
      <w:pPr>
        <w:spacing w:after="0" w:before="140" w:line="240"/>
        <w:ind w:left="240"/>
        <w:jc w:val="left"/>
      </w:pPr>
      <w:r>
        <w:rPr>
          <w:rFonts w:ascii="Menlo" w:cs="Menlo" w:eastAsia="Menlo" w:hAnsi="Menlo"/>
          <w:color w:val="333333"/>
          <w:sz w:val="19"/>
          <w:szCs w:val="19"/>
        </w:rPr>
        <w:t xml:space="preserve">[TITLE] Cluster Runbook</w:t>
      </w:r>
    </w:p>
    <w:p>
      <w:pPr>
        <w:spacing w:after="0" w:before="0" w:line="240"/>
        <w:ind w:left="240"/>
        <w:jc w:val="left"/>
      </w:pPr>
      <w:r>
        <w:rPr>
          <w:rFonts w:ascii="Menlo" w:cs="Menlo" w:eastAsia="Menlo" w:hAnsi="Menlo"/>
          <w:color w:val="333333"/>
          <w:sz w:val="19"/>
          <w:szCs w:val="19"/>
        </w:rPr>
        <w:t xml:space="preserve">[AUTHOR] platform-team</w:t>
      </w:r>
    </w:p>
    <w:p>
      <w:pPr>
        <w:spacing w:after="0" w:before="0" w:line="240"/>
        <w:ind w:left="240"/>
        <w:jc w:val="left"/>
      </w:pPr>
      <w:r>
        <w:rPr>
          <w:rFonts w:ascii="Menlo" w:cs="Menlo" w:eastAsia="Menlo" w:hAnsi="Menlo"/>
          <w:color w:val="333333"/>
          <w:sz w:val="19"/>
          <w:szCs w:val="19"/>
        </w:rPr>
        <w:t xml:space="preserve">[ALT] Diagram of the drain sequence</w:t>
      </w:r>
    </w:p>
    <w:p>
      <w:pPr>
        <w:spacing w:after="140" w:before="0" w:line="240"/>
        <w:ind w:left="240"/>
        <w:jc w:val="left"/>
      </w:pPr>
      <w:r>
        <w:rPr>
          <w:rFonts w:ascii="Menlo" w:cs="Menlo" w:eastAsia="Menlo" w:hAnsi="Menlo"/>
          <w:color w:val="333333"/>
          <w:sz w:val="19"/>
          <w:szCs w:val="19"/>
        </w:rPr>
        <w:t xml:space="preserve">[BODY] Quarterly maintenance notes for the ingestion cluster ...</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Field order is fixed, so the same document always serialises identically.</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Absent or empty fields are omitted entirely rather than emitted as empty markers.</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The delimiter tokens are stripped from every field value before joining. A delimiter an attacker can type is a delimiter an attacker can forge, and a payload containing the literal text [BODY] would otherwise fabricate a field boundary.</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The function lives in app/serialization.py, not in the dataset scripts, precisely so that Phase 5 imports it rather than reimplementing it.</w:t>
      </w:r>
    </w:p>
    <w:p>
      <w:pPr>
        <w:pStyle w:val="ListParagraph"/>
        <w:numPr>
          <w:ilvl w:val="0"/>
          <w:numId w:val="2"/>
        </w:numPr>
        <w:spacing w:after="60" w:before="60" w:line="276"/>
      </w:pPr>
      <w:r>
        <w:rPr>
          <w:rFonts w:ascii="Helvetica Neue" w:cs="Helvetica Neue" w:eastAsia="Helvetica Neue" w:hAnsi="Helvetica Neue"/>
          <w:color w:val="333333"/>
          <w:sz w:val="22"/>
          <w:szCs w:val="22"/>
        </w:rPr>
        <w:t xml:space="preserve">It is unit-tested, including the boundary-forgery case.</w:t>
      </w:r>
    </w:p>
    <w:p>
      <w:pPr>
        <w:pStyle w:val="Heading1"/>
        <w:spacing w:after="120" w:before="360" w:line="240"/>
        <w:jc w:val="left"/>
      </w:pPr>
      <w:r>
        <w:rPr>
          <w:rFonts w:ascii="Helvetica Neue" w:cs="Helvetica Neue" w:eastAsia="Helvetica Neue" w:hAnsi="Helvetica Neue"/>
          <w:b/>
          <w:bCs/>
          <w:color w:val="000000"/>
          <w:sz w:val="36"/>
          <w:szCs w:val="36"/>
        </w:rPr>
        <w:t xml:space="preserve">8. Splits, leakage, and the challenge set</w:t>
      </w:r>
    </w:p>
    <w:p>
      <w:pPr>
        <w:spacing w:after="120" w:before="120" w:line="276"/>
        <w:jc w:val="both"/>
      </w:pPr>
      <w:r>
        <w:rPr>
          <w:rFonts w:ascii="Helvetica Neue" w:cs="Helvetica Neue" w:eastAsia="Helvetica Neue" w:hAnsi="Helvetica Neue"/>
          <w:i w:val="false"/>
          <w:iCs w:val="false"/>
          <w:color w:val="333333"/>
          <w:sz w:val="22"/>
          <w:szCs w:val="22"/>
        </w:rPr>
        <w:t xml:space="preserve">Split assignment is deterministic: it derives from the seed and a hash of the record identifier, so rebuilding at the same seed reproduces the same assignment. Stratification is by label, by technique and by benign class, so no split is missing a category.</w:t>
      </w:r>
    </w:p>
    <w:p>
      <w:pPr>
        <w:spacing w:after="120" w:before="120" w:line="276"/>
        <w:jc w:val="both"/>
      </w:pPr>
      <w:r>
        <w:rPr>
          <w:rFonts w:ascii="Helvetica Neue" w:cs="Helvetica Neue" w:eastAsia="Helvetica Neue" w:hAnsi="Helvetica Neue"/>
          <w:i w:val="false"/>
          <w:iCs w:val="false"/>
          <w:color w:val="333333"/>
          <w:sz w:val="22"/>
          <w:szCs w:val="22"/>
        </w:rPr>
        <w:t xml:space="preserve">Leakage is the failure mode that matters most here, because it is silent. If the same document body appears in training and in test, every reported metric is inflated and nothing in the output looks wrong. The integrity suite in section 12 tests for it directly.</w:t>
      </w:r>
    </w:p>
    <w:p>
      <w:pPr>
        <w:pStyle w:val="Heading2"/>
        <w:spacing w:after="80" w:before="240" w:line="240"/>
        <w:jc w:val="left"/>
      </w:pPr>
      <w:r>
        <w:rPr>
          <w:rFonts w:ascii="Helvetica Neue" w:cs="Helvetica Neue" w:eastAsia="Helvetica Neue" w:hAnsi="Helvetica Neue"/>
          <w:b/>
          <w:bCs/>
          <w:color w:val="000000"/>
          <w:sz w:val="28"/>
          <w:szCs w:val="28"/>
        </w:rPr>
        <w:t xml:space="preserve">8.1 The challenge set</w:t>
      </w:r>
    </w:p>
    <w:p>
      <w:pPr>
        <w:spacing w:after="120" w:before="120" w:line="276"/>
        <w:jc w:val="both"/>
      </w:pPr>
      <w:r>
        <w:rPr>
          <w:rFonts w:ascii="Helvetica Neue" w:cs="Helvetica Neue" w:eastAsia="Helvetica Neue" w:hAnsi="Helvetica Neue"/>
          <w:i w:val="false"/>
          <w:iCs w:val="false"/>
          <w:color w:val="333333"/>
          <w:sz w:val="22"/>
          <w:szCs w:val="22"/>
        </w:rPr>
        <w:t xml:space="preserve">Fourteen document scaffolds are authored. Ten are used to build the 800-document corpus; four are reserved and appear only in the 60-document challenge set. Because scaffolds are shared evenly across both labels in the main corpus, a classifier cannot learn the template as a proxy for the label — and the challenge set then answers the further question of whether it generalises to document types it has never seen. Those numbers should be expected to come in lower than the main test split, and reporting both is worth more than one flattering figure.</w:t>
      </w:r>
    </w:p>
    <w:p>
      <w:pPr>
        <w:pStyle w:val="Heading2"/>
        <w:spacing w:after="80" w:before="240" w:line="240"/>
        <w:jc w:val="left"/>
      </w:pPr>
      <w:r>
        <w:rPr>
          <w:rFonts w:ascii="Helvetica Neue" w:cs="Helvetica Neue" w:eastAsia="Helvetica Neue" w:hAnsi="Helvetica Neue"/>
          <w:b/>
          <w:bCs/>
          <w:color w:val="000000"/>
          <w:sz w:val="28"/>
          <w:szCs w:val="28"/>
        </w:rPr>
        <w:t xml:space="preserve">8.2 A note on per-technique reporting</w:t>
      </w:r>
    </w:p>
    <w:p>
      <w:pPr>
        <w:spacing w:after="120" w:before="120" w:line="276"/>
        <w:jc w:val="both"/>
      </w:pPr>
      <w:r>
        <w:rPr>
          <w:rFonts w:ascii="Helvetica Neue" w:cs="Helvetica Neue" w:eastAsia="Helvetica Neue" w:hAnsi="Helvetica Neue"/>
          <w:i w:val="false"/>
          <w:iCs w:val="false"/>
          <w:color w:val="333333"/>
          <w:sz w:val="22"/>
          <w:szCs w:val="22"/>
        </w:rPr>
        <w:t xml:space="preserve">At 120 test documents, each technique contributes roughly ten examples. That is enough to be indicative and not enough to support a percentage. Per-technique results should be reported as plain fractions — nine of ten detected — rather than as percentages that imply a precision the sample size does not carry. Headline precision, recall and false-positive rate come from the full test split.</w:t>
      </w:r>
    </w:p>
    <w:p>
      <w:pPr>
        <w:pStyle w:val="Heading1"/>
        <w:spacing w:after="120" w:before="360" w:line="240"/>
        <w:jc w:val="left"/>
      </w:pPr>
      <w:r>
        <w:rPr>
          <w:rFonts w:ascii="Helvetica Neue" w:cs="Helvetica Neue" w:eastAsia="Helvetica Neue" w:hAnsi="Helvetica Neue"/>
          <w:b/>
          <w:bCs/>
          <w:color w:val="000000"/>
          <w:sz w:val="36"/>
          <w:szCs w:val="36"/>
        </w:rPr>
        <w:t xml:space="preserve">9. Verifying the 512-token ceiling</w:t>
      </w:r>
    </w:p>
    <w:p>
      <w:pPr>
        <w:spacing w:after="120" w:before="120" w:line="276"/>
        <w:jc w:val="both"/>
      </w:pPr>
      <w:r>
        <w:rPr>
          <w:rFonts w:ascii="Helvetica Neue" w:cs="Helvetica Neue" w:eastAsia="Helvetica Neue" w:hAnsi="Helvetica Neue"/>
          <w:i w:val="false"/>
          <w:iCs w:val="false"/>
          <w:color w:val="333333"/>
          <w:sz w:val="22"/>
          <w:szCs w:val="22"/>
        </w:rPr>
        <w:t xml:space="preserve">The 350-word cap is a proxy for the Stage 2 encoder's 512-token limit, and an unreliable one for exactly the categories this corpus contains. Base64 blobs, garbled text and invisible Unicode tokenize far less efficiently than English prose, so a 340-word encoded_payload record can still exceed 512 tokens and be silently truncated during fine-tuning.</w:t>
      </w:r>
    </w:p>
    <w:p>
      <w:pPr>
        <w:spacing w:after="120" w:before="120" w:line="276"/>
        <w:jc w:val="both"/>
      </w:pPr>
      <w:r>
        <w:rPr>
          <w:rFonts w:ascii="Helvetica Neue" w:cs="Helvetica Neue" w:eastAsia="Helvetica Neue" w:hAnsi="Helvetica Neue"/>
          <w:i w:val="false"/>
          <w:iCs w:val="false"/>
          <w:color w:val="333333"/>
          <w:sz w:val="22"/>
          <w:szCs w:val="22"/>
        </w:rPr>
        <w:t xml:space="preserve">The build therefore measures every record with the real Stage 2 tokenizer and fails if any serialised record exceeds 512 tokens. The distribution is reported per technique, so the categories that run long are visible rather than merely absent from an error log.</w:t>
      </w:r>
    </w:p>
    <w:p>
      <w:pPr>
        <w:spacing w:after="120" w:before="120" w:line="276"/>
        <w:jc w:val="both"/>
      </w:pPr>
      <w:r>
        <w:rPr>
          <w:rFonts w:ascii="Helvetica Neue" w:cs="Helvetica Neue" w:eastAsia="Helvetica Neue" w:hAnsi="Helvetica Neue"/>
          <w:b/>
          <w:bCs/>
          <w:color w:val="333333"/>
          <w:sz w:val="22"/>
          <w:szCs w:val="22"/>
        </w:rPr>
        <w:t xml:space="preserve">Constraint check. </w:t>
      </w:r>
      <w:r>
        <w:rPr>
          <w:rFonts w:ascii="Helvetica Neue" w:cs="Helvetica Neue" w:eastAsia="Helvetica Neue" w:hAnsi="Helvetica Neue"/>
          <w:b w:val="false"/>
          <w:bCs w:val="false"/>
          <w:color w:val="333333"/>
          <w:sz w:val="22"/>
          <w:szCs w:val="22"/>
        </w:rPr>
        <w:t xml:space="preserve">This adds transformers as a build-time-only optional dependency. Tokenizer use requires neither torch nor a GPU. It is a dataset construction step: the CPU-only, no-cloud-inference constraint governs the service at inference, and nothing in the running service imports it. The vocabulary is fetched once when the corpus is built, not when a document is scanned.</w:t>
      </w:r>
    </w:p>
    <w:p>
      <w:pPr>
        <w:spacing w:after="120" w:before="120" w:line="276"/>
        <w:jc w:val="both"/>
      </w:pPr>
      <w:r>
        <w:rPr>
          <w:rFonts w:ascii="Helvetica Neue" w:cs="Helvetica Neue" w:eastAsia="Helvetica Neue" w:hAnsi="Helvetica Neue"/>
          <w:i w:val="false"/>
          <w:iCs w:val="false"/>
          <w:color w:val="333333"/>
          <w:sz w:val="22"/>
          <w:szCs w:val="22"/>
        </w:rPr>
        <w:t xml:space="preserve">A consequence worth stating: section 8's Colab pre-flight diagnostic should then report zero over-length examples. If it reports any, the tokenizer versions differ between the two environments, which is itself something worth discovering before a training run rather than after.</w:t>
      </w:r>
    </w:p>
    <w:p>
      <w:pPr>
        <w:pStyle w:val="Heading1"/>
        <w:spacing w:after="120" w:before="360" w:line="240"/>
        <w:jc w:val="left"/>
      </w:pPr>
      <w:r>
        <w:rPr>
          <w:rFonts w:ascii="Helvetica Neue" w:cs="Helvetica Neue" w:eastAsia="Helvetica Neue" w:hAnsi="Helvetica Neue"/>
          <w:b/>
          <w:bCs/>
          <w:color w:val="000000"/>
          <w:sz w:val="36"/>
          <w:szCs w:val="36"/>
        </w:rPr>
        <w:t xml:space="preserve">10. How the corpus is generated</w:t>
      </w:r>
    </w:p>
    <w:p>
      <w:pPr>
        <w:spacing w:after="120" w:before="120" w:line="276"/>
        <w:jc w:val="both"/>
      </w:pPr>
      <w:r>
        <w:rPr>
          <w:rFonts w:ascii="Helvetica Neue" w:cs="Helvetica Neue" w:eastAsia="Helvetica Neue" w:hAnsi="Helvetica Neue"/>
          <w:i w:val="false"/>
          <w:iCs w:val="false"/>
          <w:color w:val="333333"/>
          <w:sz w:val="22"/>
          <w:szCs w:val="22"/>
        </w:rPr>
        <w:t xml:space="preserve">Hand-authored pools composed by a seeded deterministic generator. The pools hold the scaffolds, the body paragraph banks for each scaffold, the payload phrasings for each technique, and the metadata value sets. The generator selects a scaffold, assembles a body, and for a malicious record selects a technique, a payload and a position, recording the provenance of every choice in the record.</w:t>
      </w:r>
    </w:p>
    <w:p>
      <w:pPr>
        <w:spacing w:after="120" w:before="120" w:line="276"/>
        <w:jc w:val="both"/>
      </w:pPr>
      <w:r>
        <w:rPr>
          <w:rFonts w:ascii="Helvetica Neue" w:cs="Helvetica Neue" w:eastAsia="Helvetica Neue" w:hAnsi="Helvetica Neue"/>
          <w:i w:val="false"/>
          <w:iCs w:val="false"/>
          <w:color w:val="333333"/>
          <w:sz w:val="22"/>
          <w:szCs w:val="22"/>
        </w:rPr>
        <w:t xml:space="preserve">The corpus is not generated by prompting a language model. The reason is reproducibility: a seeded generator can be re-run from the repository and produce byte-identical output, which is what lets the methodology chapter describe the dataset as reconstructible. A model call cannot offer that. The cost is that linguistic diversity has to come from the size of the hand-authored pool rather than from the generator, which is a fair trade at this scale.</w:t>
      </w:r>
    </w:p>
    <w:p>
      <w:pPr>
        <w:pStyle w:val="Heading1"/>
        <w:spacing w:after="120" w:before="360" w:line="240"/>
        <w:jc w:val="left"/>
      </w:pPr>
      <w:r>
        <w:rPr>
          <w:rFonts w:ascii="Helvetica Neue" w:cs="Helvetica Neue" w:eastAsia="Helvetica Neue" w:hAnsi="Helvetica Neue"/>
          <w:b/>
          <w:bCs/>
          <w:color w:val="000000"/>
          <w:sz w:val="36"/>
          <w:szCs w:val="36"/>
        </w:rPr>
        <w:t xml:space="preserve">11. Deliverables</w:t>
      </w:r>
    </w:p>
    <w:p>
      <w:pPr>
        <w:spacing w:after="0" w:before="140" w:line="240"/>
        <w:ind w:left="240"/>
        <w:jc w:val="left"/>
      </w:pPr>
      <w:r>
        <w:rPr>
          <w:rFonts w:ascii="Menlo" w:cs="Menlo" w:eastAsia="Menlo" w:hAnsi="Menlo"/>
          <w:color w:val="333333"/>
          <w:sz w:val="19"/>
          <w:szCs w:val="19"/>
        </w:rPr>
        <w:t xml:space="preserve">data/v1/</w:t>
      </w:r>
    </w:p>
    <w:p>
      <w:pPr>
        <w:spacing w:after="0" w:before="0" w:line="240"/>
        <w:ind w:left="240"/>
        <w:jc w:val="left"/>
      </w:pPr>
      <w:r>
        <w:rPr>
          <w:rFonts w:ascii="Menlo" w:cs="Menlo" w:eastAsia="Menlo" w:hAnsi="Menlo"/>
          <w:color w:val="333333"/>
          <w:sz w:val="19"/>
          <w:szCs w:val="19"/>
        </w:rPr>
        <w:t xml:space="preserve">├── corpus.jsonl              canonical, 800 records, full schema</w:t>
      </w:r>
    </w:p>
    <w:p>
      <w:pPr>
        <w:spacing w:after="0" w:before="0" w:line="240"/>
        <w:ind w:left="240"/>
        <w:jc w:val="left"/>
      </w:pPr>
      <w:r>
        <w:rPr>
          <w:rFonts w:ascii="Menlo" w:cs="Menlo" w:eastAsia="Menlo" w:hAnsi="Menlo"/>
          <w:color w:val="333333"/>
          <w:sz w:val="19"/>
          <w:szCs w:val="19"/>
        </w:rPr>
        <w:t xml:space="preserve">├── challenge.jsonl           60 records, held-out scaffolds only</w:t>
      </w:r>
    </w:p>
    <w:p>
      <w:pPr>
        <w:spacing w:after="0" w:before="0" w:line="240"/>
        <w:ind w:left="240"/>
        <w:jc w:val="left"/>
      </w:pPr>
      <w:r>
        <w:rPr>
          <w:rFonts w:ascii="Menlo" w:cs="Menlo" w:eastAsia="Menlo" w:hAnsi="Menlo"/>
          <w:color w:val="333333"/>
          <w:sz w:val="19"/>
          <w:szCs w:val="19"/>
        </w:rPr>
        <w:t xml:space="preserve">├── splits/</w:t>
      </w:r>
    </w:p>
    <w:p>
      <w:pPr>
        <w:spacing w:after="0" w:before="0" w:line="240"/>
        <w:ind w:left="240"/>
        <w:jc w:val="left"/>
      </w:pPr>
      <w:r>
        <w:rPr>
          <w:rFonts w:ascii="Menlo" w:cs="Menlo" w:eastAsia="Menlo" w:hAnsi="Menlo"/>
          <w:color w:val="333333"/>
          <w:sz w:val="19"/>
          <w:szCs w:val="19"/>
        </w:rPr>
        <w:t xml:space="preserve">│   ├── train.jsonl           560   derived from corpus.jsonl</w:t>
      </w:r>
    </w:p>
    <w:p>
      <w:pPr>
        <w:spacing w:after="0" w:before="0" w:line="240"/>
        <w:ind w:left="240"/>
        <w:jc w:val="left"/>
      </w:pPr>
      <w:r>
        <w:rPr>
          <w:rFonts w:ascii="Menlo" w:cs="Menlo" w:eastAsia="Menlo" w:hAnsi="Menlo"/>
          <w:color w:val="333333"/>
          <w:sz w:val="19"/>
          <w:szCs w:val="19"/>
        </w:rPr>
        <w:t xml:space="preserve">│   ├── val.jsonl             120</w:t>
      </w:r>
    </w:p>
    <w:p>
      <w:pPr>
        <w:spacing w:after="0" w:before="0" w:line="240"/>
        <w:ind w:left="240"/>
        <w:jc w:val="left"/>
      </w:pPr>
      <w:r>
        <w:rPr>
          <w:rFonts w:ascii="Menlo" w:cs="Menlo" w:eastAsia="Menlo" w:hAnsi="Menlo"/>
          <w:color w:val="333333"/>
          <w:sz w:val="19"/>
          <w:szCs w:val="19"/>
        </w:rPr>
        <w:t xml:space="preserve">│   └── test.jsonl            120   never uploaded to Colab</w:t>
      </w:r>
    </w:p>
    <w:p>
      <w:pPr>
        <w:spacing w:after="0" w:before="0" w:line="240"/>
        <w:ind w:left="240"/>
        <w:jc w:val="left"/>
      </w:pPr>
      <w:r>
        <w:rPr>
          <w:rFonts w:ascii="Menlo" w:cs="Menlo" w:eastAsia="Menlo" w:hAnsi="Menlo"/>
          <w:color w:val="333333"/>
          <w:sz w:val="19"/>
          <w:szCs w:val="19"/>
        </w:rPr>
        <w:t xml:space="preserve">├── export/</w:t>
      </w:r>
    </w:p>
    <w:p>
      <w:pPr>
        <w:spacing w:after="0" w:before="0" w:line="240"/>
        <w:ind w:left="240"/>
        <w:jc w:val="left"/>
      </w:pPr>
      <w:r>
        <w:rPr>
          <w:rFonts w:ascii="Menlo" w:cs="Menlo" w:eastAsia="Menlo" w:hAnsi="Menlo"/>
          <w:color w:val="333333"/>
          <w:sz w:val="19"/>
          <w:szCs w:val="19"/>
        </w:rPr>
        <w:t xml:space="preserve">│   ├── dataset_train.json    flat: text and label only</w:t>
      </w:r>
    </w:p>
    <w:p>
      <w:pPr>
        <w:spacing w:after="0" w:before="0" w:line="240"/>
        <w:ind w:left="240"/>
        <w:jc w:val="left"/>
      </w:pPr>
      <w:r>
        <w:rPr>
          <w:rFonts w:ascii="Menlo" w:cs="Menlo" w:eastAsia="Menlo" w:hAnsi="Menlo"/>
          <w:color w:val="333333"/>
          <w:sz w:val="19"/>
          <w:szCs w:val="19"/>
        </w:rPr>
        <w:t xml:space="preserve">│   └── dataset_val.json      flat: text and label only</w:t>
      </w:r>
    </w:p>
    <w:p>
      <w:pPr>
        <w:spacing w:after="0" w:before="0" w:line="240"/>
        <w:ind w:left="240"/>
        <w:jc w:val="left"/>
      </w:pPr>
      <w:r>
        <w:rPr>
          <w:rFonts w:ascii="Menlo" w:cs="Menlo" w:eastAsia="Menlo" w:hAnsi="Menlo"/>
          <w:color w:val="333333"/>
          <w:sz w:val="19"/>
          <w:szCs w:val="19"/>
        </w:rPr>
        <w:t xml:space="preserve">├── manifest.json             counts, distributions, checksums, seed</w:t>
      </w:r>
    </w:p>
    <w:p>
      <w:pPr>
        <w:spacing w:after="0" w:before="0" w:line="240"/>
        <w:ind w:left="240"/>
        <w:jc w:val="left"/>
      </w:pPr>
      <w:r>
        <w:rPr>
          <w:rFonts w:ascii="Menlo" w:cs="Menlo" w:eastAsia="Menlo" w:hAnsi="Menlo"/>
          <w:color w:val="333333"/>
          <w:sz w:val="19"/>
          <w:szCs w:val="19"/>
        </w:rPr>
        <w:t xml:space="preserve">└── DATASET_CARD.md           construction, composition, limitations</w:t>
      </w:r>
    </w:p>
    <w:p>
      <w:pPr>
        <w:spacing w:after="0" w:before="0" w:line="240"/>
        <w:ind w:left="240"/>
        <w:jc w:val="left"/>
      </w:pPr>
      <w:r>
        <w:rPr>
          <w:rFonts w:ascii="Menlo" w:cs="Menlo" w:eastAsia="Menlo" w:hAnsi="Menlo"/>
          <w:color w:val="333333"/>
          <w:sz w:val="19"/>
          <w:szCs w:val="19"/>
        </w:rPr>
        <w:t xml:space="preserve"/>
      </w:r>
    </w:p>
    <w:p>
      <w:pPr>
        <w:spacing w:after="0" w:before="0" w:line="240"/>
        <w:ind w:left="240"/>
        <w:jc w:val="left"/>
      </w:pPr>
      <w:r>
        <w:rPr>
          <w:rFonts w:ascii="Menlo" w:cs="Menlo" w:eastAsia="Menlo" w:hAnsi="Menlo"/>
          <w:color w:val="333333"/>
          <w:sz w:val="19"/>
          <w:szCs w:val="19"/>
        </w:rPr>
        <w:t xml:space="preserve">scripts/</w:t>
      </w:r>
    </w:p>
    <w:p>
      <w:pPr>
        <w:spacing w:after="0" w:before="0" w:line="240"/>
        <w:ind w:left="240"/>
        <w:jc w:val="left"/>
      </w:pPr>
      <w:r>
        <w:rPr>
          <w:rFonts w:ascii="Menlo" w:cs="Menlo" w:eastAsia="Menlo" w:hAnsi="Menlo"/>
          <w:color w:val="333333"/>
          <w:sz w:val="19"/>
          <w:szCs w:val="19"/>
        </w:rPr>
        <w:t xml:space="preserve">├── build_dataset.py          seeded generator, writes corpus.jsonl</w:t>
      </w:r>
    </w:p>
    <w:p>
      <w:pPr>
        <w:spacing w:after="0" w:before="0" w:line="240"/>
        <w:ind w:left="240"/>
        <w:jc w:val="left"/>
      </w:pPr>
      <w:r>
        <w:rPr>
          <w:rFonts w:ascii="Menlo" w:cs="Menlo" w:eastAsia="Menlo" w:hAnsi="Menlo"/>
          <w:color w:val="333333"/>
          <w:sz w:val="19"/>
          <w:szCs w:val="19"/>
        </w:rPr>
        <w:t xml:space="preserve">├── export_for_colab.py       canonical -&gt; flat export files</w:t>
      </w:r>
    </w:p>
    <w:p>
      <w:pPr>
        <w:spacing w:after="0" w:before="0" w:line="240"/>
        <w:ind w:left="240"/>
        <w:jc w:val="left"/>
      </w:pPr>
      <w:r>
        <w:rPr>
          <w:rFonts w:ascii="Menlo" w:cs="Menlo" w:eastAsia="Menlo" w:hAnsi="Menlo"/>
          <w:color w:val="333333"/>
          <w:sz w:val="19"/>
          <w:szCs w:val="19"/>
        </w:rPr>
        <w:t xml:space="preserve">└── check_tokens.py           tokenizer gate and distribution report</w:t>
      </w:r>
    </w:p>
    <w:p>
      <w:pPr>
        <w:spacing w:after="0" w:before="0" w:line="240"/>
        <w:ind w:left="240"/>
        <w:jc w:val="left"/>
      </w:pPr>
      <w:r>
        <w:rPr>
          <w:rFonts w:ascii="Menlo" w:cs="Menlo" w:eastAsia="Menlo" w:hAnsi="Menlo"/>
          <w:color w:val="333333"/>
          <w:sz w:val="19"/>
          <w:szCs w:val="19"/>
        </w:rPr>
        <w:t xml:space="preserve"/>
      </w:r>
    </w:p>
    <w:p>
      <w:pPr>
        <w:spacing w:after="0" w:before="0" w:line="240"/>
        <w:ind w:left="240"/>
        <w:jc w:val="left"/>
      </w:pPr>
      <w:r>
        <w:rPr>
          <w:rFonts w:ascii="Menlo" w:cs="Menlo" w:eastAsia="Menlo" w:hAnsi="Menlo"/>
          <w:color w:val="333333"/>
          <w:sz w:val="19"/>
          <w:szCs w:val="19"/>
        </w:rPr>
        <w:t xml:space="preserve">app/serialization.py          the shared metadata-and-body join</w:t>
      </w:r>
    </w:p>
    <w:p>
      <w:pPr>
        <w:spacing w:after="0" w:before="0" w:line="240"/>
        <w:ind w:left="240"/>
        <w:jc w:val="left"/>
      </w:pPr>
      <w:r>
        <w:rPr>
          <w:rFonts w:ascii="Menlo" w:cs="Menlo" w:eastAsia="Menlo" w:hAnsi="Menlo"/>
          <w:color w:val="333333"/>
          <w:sz w:val="19"/>
          <w:szCs w:val="19"/>
        </w:rPr>
        <w:t xml:space="preserve">tests/test_dataset.py         integrity suite</w:t>
      </w:r>
    </w:p>
    <w:p>
      <w:pPr>
        <w:spacing w:after="140" w:before="0" w:line="240"/>
        <w:ind w:left="240"/>
        <w:jc w:val="left"/>
      </w:pPr>
      <w:r>
        <w:rPr>
          <w:rFonts w:ascii="Menlo" w:cs="Menlo" w:eastAsia="Menlo" w:hAnsi="Menlo"/>
          <w:color w:val="333333"/>
          <w:sz w:val="19"/>
          <w:szCs w:val="19"/>
        </w:rPr>
        <w:t xml:space="preserve">tests/test_serialization.py   join rules, including boundary forgery</w:t>
      </w:r>
    </w:p>
    <w:p>
      <w:pPr>
        <w:pStyle w:val="Heading1"/>
        <w:spacing w:after="120" w:before="360" w:line="240"/>
        <w:jc w:val="left"/>
      </w:pPr>
      <w:r>
        <w:rPr>
          <w:rFonts w:ascii="Helvetica Neue" w:cs="Helvetica Neue" w:eastAsia="Helvetica Neue" w:hAnsi="Helvetica Neue"/>
          <w:b/>
          <w:bCs/>
          <w:color w:val="000000"/>
          <w:sz w:val="36"/>
          <w:szCs w:val="36"/>
        </w:rPr>
        <w:t xml:space="preserve">12. Dataset integrity tests</w:t>
      </w:r>
    </w:p>
    <w:p>
      <w:pPr>
        <w:spacing w:after="120" w:before="120" w:line="276"/>
        <w:jc w:val="both"/>
      </w:pPr>
      <w:r>
        <w:rPr>
          <w:rFonts w:ascii="Helvetica Neue" w:cs="Helvetica Neue" w:eastAsia="Helvetica Neue" w:hAnsi="Helvetica Neue"/>
          <w:i w:val="false"/>
          <w:iCs w:val="false"/>
          <w:color w:val="333333"/>
          <w:sz w:val="22"/>
          <w:szCs w:val="22"/>
        </w:rPr>
        <w:t xml:space="preserve">Data deserves tests as much as code does, and for the same reason: these failures are silent. A corpus with leakage in it produces excellent metrics and no error.</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2700"/>
        <w:gridCol w:w="5940"/>
      </w:tblGrid>
      <w:tr>
        <w:trPr>
          <w:tblHeader/>
        </w:trPr>
        <w:tc>
          <w:tcPr>
            <w:tcW w:type="dxa" w:w="27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Test</w:t>
            </w:r>
          </w:p>
        </w:tc>
        <w:tc>
          <w:tcPr>
            <w:tcW w:type="dxa" w:w="59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What it catches</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Schema conformance</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missing, extra or wrongly typed field in any record.</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Label and class validity</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label outside {0,1}; a technique set on a benign record, or missing from a malicious one.</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duplicate bodies</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same document counted twice, inflating the corpus without adding information.</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cross-split leakage</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same text in train and test — which inflates every reported metric and looks like nothing at all.</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Word cap</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Any record over 350 words.</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Token cap</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Any serialised record over 512 tokens.</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Class balance</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Drift from the intended even split beyond tolerance.</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Technique coverage per split</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technique absent from a split, which makes its metric there undefined.</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Scaffold parity across labels</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scaffold appearing under only one label, which would let the classifier learn the template instead of the attack.</w:t>
            </w:r>
          </w:p>
        </w:tc>
      </w:tr>
      <w:tr>
        <w:tc>
          <w:tcPr>
            <w:tcW w:type="dxa" w:w="27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Challenge-set isolation</w:t>
            </w:r>
          </w:p>
        </w:tc>
        <w:tc>
          <w:tcPr>
            <w:tcW w:type="dxa" w:w="59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 held-out scaffold leaking into the training corpus.</w:t>
            </w:r>
          </w:p>
        </w:tc>
      </w:tr>
      <w:tr>
        <w:tc>
          <w:tcPr>
            <w:tcW w:type="dxa" w:w="27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Determinism</w:t>
            </w:r>
          </w:p>
        </w:tc>
        <w:tc>
          <w:tcPr>
            <w:tcW w:type="dxa" w:w="59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Two builds at the same seed producing different corpora.</w:t>
            </w:r>
          </w:p>
        </w:tc>
      </w:tr>
    </w:tbl>
    <w:p>
      <w:pPr>
        <w:pStyle w:val="Heading1"/>
        <w:spacing w:after="120" w:before="360" w:line="240"/>
        <w:jc w:val="left"/>
      </w:pPr>
      <w:r>
        <w:rPr>
          <w:rFonts w:ascii="Helvetica Neue" w:cs="Helvetica Neue" w:eastAsia="Helvetica Neue" w:hAnsi="Helvetica Neue"/>
          <w:b/>
          <w:bCs/>
          <w:color w:val="000000"/>
          <w:sz w:val="36"/>
          <w:szCs w:val="36"/>
        </w:rPr>
        <w:t xml:space="preserve">13. Known limitations</w:t>
      </w:r>
    </w:p>
    <w:p>
      <w:pPr>
        <w:spacing w:after="120" w:before="120" w:line="276"/>
        <w:jc w:val="both"/>
      </w:pPr>
      <w:r>
        <w:rPr>
          <w:rFonts w:ascii="Helvetica Neue" w:cs="Helvetica Neue" w:eastAsia="Helvetica Neue" w:hAnsi="Helvetica Neue"/>
          <w:i w:val="false"/>
          <w:iCs w:val="false"/>
          <w:color w:val="333333"/>
          <w:sz w:val="22"/>
          <w:szCs w:val="22"/>
        </w:rPr>
        <w:t xml:space="preserve">Recorded here so that the evaluation chapter states them rather than being asked about them.</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Synthetic construction measures detection of these techniques as represented here, not of attacks in the wild. Payload phrasings are drawn from documented incidents, which grounds them, but the documents carrying them are generated. Results should be read as an upper bound on a narrow, well-specified distribution.</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Colour-matched text does not survive text extraction. Colour is a rendering property, and by the time a document reaches this service it is plain text. The corpus models the case where an extractor leaks the style markup. Where an extractor strips styling entirely, the technique is invisible to this system by construction — a limitation to state, not a gap to close.</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The even class balance is a training convenience, not a deployment reality. Injected documents are rare in a real corpus, and at a low base rate false positives dominate: a classifier with excellent balanced precision can still return mostly false alarms in production. The evaluation chapter should report precision at a realistic base rate alongside the balanced figure.</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Per-technique test counts are near ten. Report them as fractions rather than percentages.</w:t>
      </w:r>
    </w:p>
    <w:p>
      <w:pPr>
        <w:pStyle w:val="ListParagraph"/>
        <w:numPr>
          <w:ilvl w:val="0"/>
          <w:numId w:val="3"/>
        </w:numPr>
        <w:spacing w:after="80" w:before="80" w:line="276"/>
      </w:pPr>
      <w:r>
        <w:rPr>
          <w:rFonts w:ascii="Helvetica Neue" w:cs="Helvetica Neue" w:eastAsia="Helvetica Neue" w:hAnsi="Helvetica Neue"/>
          <w:color w:val="333333"/>
          <w:sz w:val="22"/>
          <w:szCs w:val="22"/>
        </w:rPr>
        <w:t xml:space="preserve">Conditioned and delayed instructions are detected as static phrasing only. Whether the instruction would ever be acted upon is agentic behaviour, outside what a document-boundary classifier can observe.</w:t>
      </w:r>
    </w:p>
    <w:p>
      <w:pPr>
        <w:pStyle w:val="Heading1"/>
        <w:spacing w:after="120" w:before="360" w:line="240"/>
        <w:jc w:val="left"/>
      </w:pPr>
      <w:r>
        <w:rPr>
          <w:rFonts w:ascii="Helvetica Neue" w:cs="Helvetica Neue" w:eastAsia="Helvetica Neue" w:hAnsi="Helvetica Neue"/>
          <w:b/>
          <w:bCs/>
          <w:color w:val="000000"/>
          <w:sz w:val="36"/>
          <w:szCs w:val="36"/>
        </w:rPr>
        <w:t xml:space="preserve">14. Constraint traceability</w:t>
      </w:r>
    </w:p>
    <w:p>
      <w:pPr>
        <w:spacing w:after="60" w:before="0"/>
      </w:pPr>
    </w:p>
    <w:tbl>
      <w:tblPr>
        <w:tblW w:type="dxa" w:w="8640"/>
        <w:tblBorders>
          <w:top w:val="none" w:color="FFFFFF" w:sz="0"/>
          <w:left w:val="none" w:color="FFFFFF" w:sz="0"/>
          <w:bottom w:val="none" w:color="FFFFFF" w:sz="0"/>
          <w:right w:val="none" w:color="FFFFFF" w:sz="0"/>
          <w:insideH w:val="single" w:color="CCCCCC" w:sz="1"/>
          <w:insideV w:val="none" w:color="FFFFFF" w:sz="0"/>
        </w:tblBorders>
      </w:tblPr>
      <w:tblGrid>
        <w:gridCol w:w="3000"/>
        <w:gridCol w:w="5640"/>
      </w:tblGrid>
      <w:tr>
        <w:trPr>
          <w:tblHeader/>
        </w:trPr>
        <w:tc>
          <w:tcPr>
            <w:tcW w:type="dxa" w:w="300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Constraint</w:t>
            </w:r>
          </w:p>
        </w:tc>
        <w:tc>
          <w:tcPr>
            <w:tcW w:type="dxa" w:w="5640"/>
            <w:tcBorders>
              <w:top w:val="none" w:color="FFFFFF" w:sz="0"/>
              <w:left w:val="none" w:color="FFFFFF" w:sz="0"/>
              <w:bottom w:val="single" w:color="999999" w:sz="4"/>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bCs/>
                <w:color w:val="333333"/>
                <w:sz w:val="20"/>
                <w:szCs w:val="20"/>
              </w:rPr>
              <w:t xml:space="preserve">How Phase 2 honours it</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Roughly 350 words per document</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Every record is generated within the cap, and both a build gate and an integrity test enforce it.</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English-language documents only</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All scaffold, payload and metadata pools are English. No other language is generated.</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CPU-only; no runtime cloud-inference dependency</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Dataset construction adds no runtime dependency. The tokenizer is build-time only, runs on CPU, and no module in the service imports it.</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Fine-tuning happens off-repo on Colab</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Phase 2 produces the two flat files the Colab script expects and nothing more. No training runs in this repository.</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Indirect injection, not direct</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Every malicious payload sits inside the document or its metadata. No record models a user-typed chat turn.</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adversarial instructional-prompt attacks</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RAG system's own prompt template is not modelled. It is a different attack surface, excluded in section 4 of the project reference.</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RAG jamming or blocker documents</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denial-of-service documents are generated. A different threat class, excluded by design.</w:t>
            </w:r>
          </w:p>
        </w:tc>
      </w:tr>
      <w:tr>
        <w:tc>
          <w:tcPr>
            <w:tcW w:type="dxa" w:w="300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No multimodal handling</w:t>
            </w:r>
          </w:p>
        </w:tc>
        <w:tc>
          <w:tcPr>
            <w:tcW w:type="dxa" w:w="5640"/>
            <w:tcBorders>
              <w:top w:val="none" w:color="FFFFFF" w:sz="0"/>
              <w:left w:val="none" w:color="FFFFFF" w:sz="0"/>
              <w:bottom w:val="single" w:color="CCCCCC" w:sz="1"/>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Records carry text and string metadata only.</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Consistency with the submitted Chapter 1</w:t>
            </w:r>
          </w:p>
        </w:tc>
        <w:tc>
          <w:tcPr>
            <w:tcW w:type="dxa" w:w="56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line="252"/>
              <w:jc w:val="left"/>
            </w:pPr>
            <w:r>
              <w:rPr>
                <w:rFonts w:ascii="Helvetica Neue" w:cs="Helvetica Neue" w:eastAsia="Helvetica Neue" w:hAnsi="Helvetica Neue"/>
                <w:b w:val="false"/>
                <w:bCs w:val="false"/>
                <w:color w:val="333333"/>
                <w:sz w:val="20"/>
                <w:szCs w:val="20"/>
              </w:rPr>
              <w:t xml:space="preserve">The dataset realises the labelled corpus objective as Chapter 1 describes it: benign and indirect-injection-bearing documents, synthetically constructed, drawing on documented incident patterns.</w:t>
            </w:r>
          </w:p>
        </w:tc>
      </w:tr>
    </w:tbl>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right"/>
    </w:pPr>
    <w:r>
      <w:rPr>
        <w:rFonts w:ascii="Helvetica Neue" w:cs="Helvetica Neue" w:eastAsia="Helvetica Neue" w:hAnsi="Helvetica Neue"/>
        <w:color w:val="333333"/>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rFonts w:ascii="Helvetica Neue" w:cs="Helvetica Neue" w:eastAsia="Helvetica Neue" w:hAnsi="Helvetica Neue"/>
        <w:color w:val="333333"/>
        <w:sz w:val="18"/>
        <w:szCs w:val="18"/>
      </w:rPr>
      <w:t xml:space="preserve">AI Prompt Firewall — Phase 2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line="240"/>
      <w:jc w:val="left"/>
      <w:outlineLvl w:val="0"/>
    </w:pPr>
    <w:rPr>
      <w:rFonts w:ascii="Helvetica Neue" w:cs="Helvetica Neue" w:eastAsia="Helvetica Neue" w:hAnsi="Helvetica Neue"/>
      <w:b/>
      <w:bCs/>
      <w:color w:val="000000"/>
      <w:sz w:val="36"/>
      <w:szCs w:val="36"/>
    </w:rPr>
  </w:style>
  <w:style w:type="paragraph" w:styleId="Heading2">
    <w:name w:val="Heading 2"/>
    <w:basedOn w:val="Normal"/>
    <w:next w:val="Normal"/>
    <w:qFormat/>
    <w:pPr>
      <w:spacing w:after="80" w:before="240" w:line="240"/>
      <w:jc w:val="left"/>
      <w:outlineLvl w:val="1"/>
    </w:pPr>
    <w:rPr>
      <w:rFonts w:ascii="Helvetica Neue" w:cs="Helvetica Neue" w:eastAsia="Helvetica Neue" w:hAnsi="Helvetica Neue"/>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Firewall — Phase 2 Specification</dc:title>
  <dc:creator>Kamaludeen Abdulkadir</dc:creator>
  <dc:description>Synthetic dataset construction</dc:description>
  <cp:lastModifiedBy>Un-named</cp:lastModifiedBy>
  <cp:revision>1</cp:revision>
  <dcterms:created xsi:type="dcterms:W3CDTF">2026-09-09T20:12:16.651Z</dcterms:created>
  <dcterms:modified xsi:type="dcterms:W3CDTF">2026-09-09T20:12:16.652Z</dcterms:modified>
</cp:coreProperties>
</file>

<file path=docProps/custom.xml><?xml version="1.0" encoding="utf-8"?>
<Properties xmlns="http://schemas.openxmlformats.org/officeDocument/2006/custom-properties" xmlns:vt="http://schemas.openxmlformats.org/officeDocument/2006/docPropsVTypes"/>
</file>