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line="240"/>
        <w:jc w:val="left"/>
      </w:pPr>
      <w:r>
        <w:rPr>
          <w:rFonts w:ascii="Helvetica Neue" w:cs="Helvetica Neue" w:eastAsia="Helvetica Neue" w:hAnsi="Helvetica Neue"/>
          <w:b/>
          <w:bCs/>
          <w:color w:val="000000"/>
          <w:sz w:val="48"/>
          <w:szCs w:val="48"/>
        </w:rPr>
        <w:t xml:space="preserve">AI Prompt Firewall — Phase 3 Specification</w:t>
      </w:r>
    </w:p>
    <w:p>
      <w:pPr>
        <w:spacing w:after="40" w:before="0" w:line="260"/>
        <w:jc w:val="left"/>
      </w:pPr>
      <w:r>
        <w:rPr>
          <w:rFonts w:ascii="Helvetica Neue" w:cs="Helvetica Neue" w:eastAsia="Helvetica Neue" w:hAnsi="Helvetica Neue"/>
          <w:color w:val="333333"/>
          <w:sz w:val="24"/>
          <w:szCs w:val="24"/>
        </w:rPr>
        <w:t xml:space="preserve">Stage 1 heuristic pre-filter</w:t>
      </w:r>
    </w:p>
    <w:p>
      <w:pPr>
        <w:spacing w:after="0" w:before="0" w:line="260"/>
        <w:jc w:val="left"/>
      </w:pPr>
      <w:r>
        <w:rPr>
          <w:rFonts w:ascii="Helvetica Neue" w:cs="Helvetica Neue" w:eastAsia="Helvetica Neue" w:hAnsi="Helvetica Neue"/>
          <w:color w:val="333333"/>
          <w:sz w:val="20"/>
          <w:szCs w:val="20"/>
        </w:rPr>
        <w:t xml:space="preserve">Indirect prompt-injection classifier for RAG document ingestion</w:t>
      </w:r>
    </w:p>
    <w:p>
      <w:pPr>
        <w:spacing w:after="0" w:before="0" w:line="260"/>
        <w:jc w:val="left"/>
      </w:pPr>
      <w:r>
        <w:rPr>
          <w:rFonts w:ascii="Helvetica Neue" w:cs="Helvetica Neue" w:eastAsia="Helvetica Neue" w:hAnsi="Helvetica Neue"/>
          <w:color w:val="333333"/>
          <w:sz w:val="20"/>
          <w:szCs w:val="20"/>
        </w:rPr>
        <w:t xml:space="preserve">Final-year BSc Cybersecurity thesis — Bayero University Kano</w:t>
      </w:r>
    </w:p>
    <w:p>
      <w:pPr>
        <w:spacing w:after="320" w:before="0" w:line="260"/>
        <w:jc w:val="left"/>
      </w:pPr>
      <w:r>
        <w:rPr>
          <w:rFonts w:ascii="Helvetica Neue" w:cs="Helvetica Neue" w:eastAsia="Helvetica Neue" w:hAnsi="Helvetica Neue"/>
          <w:color w:val="333333"/>
          <w:sz w:val="20"/>
          <w:szCs w:val="20"/>
        </w:rPr>
        <w:t xml:space="preserve">Kamaludeen Abdulkadir — CST/22/CBS/00753</w:t>
      </w:r>
    </w:p>
    <w:p>
      <w:pPr>
        <w:spacing w:after="120" w:before="120" w:line="276"/>
        <w:jc w:val="both"/>
      </w:pPr>
      <w:r>
        <w:rPr>
          <w:rFonts w:ascii="Helvetica Neue" w:cs="Helvetica Neue" w:eastAsia="Helvetica Neue" w:hAnsi="Helvetica Neue"/>
          <w:i w:val="false"/>
          <w:iCs w:val="false"/>
          <w:color w:val="333333"/>
          <w:sz w:val="22"/>
          <w:szCs w:val="22"/>
        </w:rPr>
        <w:t xml:space="preserve">This document specifies Phase 3: the lightweight rule-based pre-filter that runs on every document before the transformer classifier exists to run on any of them. It records the rule set and the reasoning behind each rule, how scores are combined, how the decision threshold is chosen without touching the test split, and what the evaluation reports. The purpose of the phase is to establish how far heuristics alone get, so that Stage 2's contribution can later be stated as a difference rather than asserted.</w:t>
      </w:r>
    </w:p>
    <w:p>
      <w:pPr>
        <w:pStyle w:val="Heading1"/>
        <w:spacing w:after="120" w:before="360" w:line="240"/>
        <w:jc w:val="left"/>
      </w:pPr>
      <w:r>
        <w:rPr>
          <w:rFonts w:ascii="Helvetica Neue" w:cs="Helvetica Neue" w:eastAsia="Helvetica Neue" w:hAnsi="Helvetica Neue"/>
          <w:b/>
          <w:bCs/>
          <w:color w:val="000000"/>
          <w:sz w:val="36"/>
          <w:szCs w:val="36"/>
        </w:rPr>
        <w:t xml:space="preserve">1. Scope of Phase 3</w:t>
      </w:r>
    </w:p>
    <w:p>
      <w:pPr>
        <w:pStyle w:val="Heading2"/>
        <w:spacing w:after="80" w:before="240" w:line="240"/>
        <w:jc w:val="left"/>
      </w:pPr>
      <w:r>
        <w:rPr>
          <w:rFonts w:ascii="Helvetica Neue" w:cs="Helvetica Neue" w:eastAsia="Helvetica Neue" w:hAnsi="Helvetica Neue"/>
          <w:b/>
          <w:bCs/>
          <w:color w:val="000000"/>
          <w:sz w:val="28"/>
          <w:szCs w:val="28"/>
        </w:rPr>
        <w:t xml:space="preserve">1.1 In scope</w:t>
      </w:r>
    </w:p>
    <w:p>
      <w:pPr>
        <w:pStyle w:val="ListParagraph"/>
        <w:numPr>
          <w:ilvl w:val="0"/>
          <w:numId w:val="2"/>
        </w:numPr>
        <w:spacing w:after="60" w:before="60" w:line="276"/>
      </w:pPr>
      <w:r>
        <w:rPr>
          <w:rFonts w:ascii="Helvetica Neue" w:cs="Helvetica Neue" w:eastAsia="Helvetica Neue" w:hAnsi="Helvetica Neue"/>
          <w:color w:val="333333"/>
          <w:sz w:val="22"/>
          <w:szCs w:val="22"/>
        </w:rPr>
        <w:t xml:space="preserve">A rule-based detector: regular expressions, pattern matching, and structural scoring. No model of any kind.</w:t>
      </w:r>
    </w:p>
    <w:p>
      <w:pPr>
        <w:pStyle w:val="ListParagraph"/>
        <w:numPr>
          <w:ilvl w:val="0"/>
          <w:numId w:val="2"/>
        </w:numPr>
        <w:spacing w:after="60" w:before="60" w:line="276"/>
      </w:pPr>
      <w:r>
        <w:rPr>
          <w:rFonts w:ascii="Helvetica Neue" w:cs="Helvetica Neue" w:eastAsia="Helvetica Neue" w:hAnsi="Helvetica Neue"/>
          <w:color w:val="333333"/>
          <w:sz w:val="22"/>
          <w:szCs w:val="22"/>
        </w:rPr>
        <w:t xml:space="preserve">A normalisation pipeline that undoes obfuscation before the phrase rules run.</w:t>
      </w:r>
    </w:p>
    <w:p>
      <w:pPr>
        <w:pStyle w:val="ListParagraph"/>
        <w:numPr>
          <w:ilvl w:val="0"/>
          <w:numId w:val="2"/>
        </w:numPr>
        <w:spacing w:after="60" w:before="60" w:line="276"/>
      </w:pPr>
      <w:r>
        <w:rPr>
          <w:rFonts w:ascii="Helvetica Neue" w:cs="Helvetica Neue" w:eastAsia="Helvetica Neue" w:hAnsi="Helvetica Neue"/>
          <w:color w:val="333333"/>
          <w:sz w:val="22"/>
          <w:szCs w:val="22"/>
        </w:rPr>
        <w:t xml:space="preserve">A continuous score in the range zero to one, and a binary decision at a documented threshold.</w:t>
      </w:r>
    </w:p>
    <w:p>
      <w:pPr>
        <w:pStyle w:val="ListParagraph"/>
        <w:numPr>
          <w:ilvl w:val="0"/>
          <w:numId w:val="2"/>
        </w:numPr>
        <w:spacing w:after="60" w:before="60" w:line="276"/>
      </w:pPr>
      <w:r>
        <w:rPr>
          <w:rFonts w:ascii="Helvetica Neue" w:cs="Helvetica Neue" w:eastAsia="Helvetica Neue" w:hAnsi="Helvetica Neue"/>
          <w:color w:val="333333"/>
          <w:sz w:val="22"/>
          <w:szCs w:val="22"/>
        </w:rPr>
        <w:t xml:space="preserve">Threshold selection carried out on the training split alone.</w:t>
      </w:r>
    </w:p>
    <w:p>
      <w:pPr>
        <w:pStyle w:val="ListParagraph"/>
        <w:numPr>
          <w:ilvl w:val="0"/>
          <w:numId w:val="2"/>
        </w:numPr>
        <w:spacing w:after="60" w:before="60" w:line="276"/>
      </w:pPr>
      <w:r>
        <w:rPr>
          <w:rFonts w:ascii="Helvetica Neue" w:cs="Helvetica Neue" w:eastAsia="Helvetica Neue" w:hAnsi="Helvetica Neue"/>
          <w:color w:val="333333"/>
          <w:sz w:val="22"/>
          <w:szCs w:val="22"/>
        </w:rPr>
        <w:t xml:space="preserve">An evaluation harness reporting precision, recall, F1 and false-positive rate, broken down by technique and by benign class.</w:t>
      </w:r>
    </w:p>
    <w:p>
      <w:pPr>
        <w:pStyle w:val="ListParagraph"/>
        <w:numPr>
          <w:ilvl w:val="0"/>
          <w:numId w:val="2"/>
        </w:numPr>
        <w:spacing w:after="60" w:before="60" w:line="276"/>
      </w:pPr>
      <w:r>
        <w:rPr>
          <w:rFonts w:ascii="Helvetica Neue" w:cs="Helvetica Neue" w:eastAsia="Helvetica Neue" w:hAnsi="Helvetica Neue"/>
          <w:color w:val="333333"/>
          <w:sz w:val="22"/>
          <w:szCs w:val="22"/>
        </w:rPr>
        <w:t xml:space="preserve">A pytest suite: per-rule unit tests, normalisation tests, and dataset-level metric floors.</w:t>
      </w:r>
    </w:p>
    <w:p>
      <w:pPr>
        <w:pStyle w:val="ListParagraph"/>
        <w:numPr>
          <w:ilvl w:val="0"/>
          <w:numId w:val="2"/>
        </w:numPr>
        <w:spacing w:after="60" w:before="60" w:line="276"/>
      </w:pPr>
      <w:r>
        <w:rPr>
          <w:rFonts w:ascii="Helvetica Neue" w:cs="Helvetica Neue" w:eastAsia="Helvetica Neue" w:hAnsi="Helvetica Neue"/>
          <w:color w:val="333333"/>
          <w:sz w:val="22"/>
          <w:szCs w:val="22"/>
        </w:rPr>
        <w:t xml:space="preserve">Evidence with which to settle the fast-reject question the project reference leaves open.</w:t>
      </w:r>
    </w:p>
    <w:p>
      <w:pPr>
        <w:pStyle w:val="Heading2"/>
        <w:spacing w:after="80" w:before="240" w:line="240"/>
        <w:jc w:val="left"/>
      </w:pPr>
      <w:r>
        <w:rPr>
          <w:rFonts w:ascii="Helvetica Neue" w:cs="Helvetica Neue" w:eastAsia="Helvetica Neue" w:hAnsi="Helvetica Neue"/>
          <w:b/>
          <w:bCs/>
          <w:color w:val="000000"/>
          <w:sz w:val="28"/>
          <w:szCs w:val="28"/>
        </w:rPr>
        <w:t xml:space="preserve">1.2 Not in scope</w:t>
      </w:r>
    </w:p>
    <w:p>
      <w:pPr>
        <w:spacing w:after="60" w:before="0"/>
      </w:pPr>
    </w:p>
    <w:tbl>
      <w:tblPr>
        <w:tblW w:type="dxa" w:w="8640"/>
        <w:tblBorders>
          <w:top w:val="none" w:color="FFFFFF" w:sz="0"/>
          <w:left w:val="none" w:color="FFFFFF" w:sz="0"/>
          <w:bottom w:val="none" w:color="FFFFFF" w:sz="0"/>
          <w:right w:val="none" w:color="FFFFFF" w:sz="0"/>
          <w:insideH w:val="single" w:color="CCCCCC" w:sz="1"/>
          <w:insideV w:val="none" w:color="FFFFFF" w:sz="0"/>
        </w:tblBorders>
      </w:tblPr>
      <w:tblGrid>
        <w:gridCol w:w="4400"/>
        <w:gridCol w:w="4240"/>
      </w:tblGrid>
      <w:tr>
        <w:trPr>
          <w:tblHeader/>
        </w:trPr>
        <w:tc>
          <w:tcPr>
            <w:tcW w:type="dxa" w:w="4400"/>
            <w:tcBorders>
              <w:top w:val="none" w:color="FFFFFF" w:sz="0"/>
              <w:left w:val="none" w:color="FFFFFF" w:sz="0"/>
              <w:bottom w:val="single" w:color="999999" w:sz="4"/>
              <w:right w:val="none" w:color="FFFFFF" w:sz="0"/>
            </w:tcBorders>
            <w:tcMar>
              <w:top w:type="dxa" w:w="80"/>
              <w:left w:type="dxa" w:w="120"/>
              <w:bottom w:type="dxa" w:w="80"/>
              <w:right w:type="dxa" w:w="120"/>
            </w:tcMar>
          </w:tcPr>
          <w:p>
            <w:pPr>
              <w:spacing w:after="20" w:before="20" w:line="252"/>
              <w:jc w:val="left"/>
            </w:pPr>
            <w:r>
              <w:rPr>
                <w:rFonts w:ascii="Helvetica Neue" w:cs="Helvetica Neue" w:eastAsia="Helvetica Neue" w:hAnsi="Helvetica Neue"/>
                <w:b/>
                <w:bCs/>
                <w:color w:val="333333"/>
                <w:sz w:val="20"/>
                <w:szCs w:val="20"/>
              </w:rPr>
              <w:t xml:space="preserve">Item</w:t>
            </w:r>
          </w:p>
        </w:tc>
        <w:tc>
          <w:tcPr>
            <w:tcW w:type="dxa" w:w="4240"/>
            <w:tcBorders>
              <w:top w:val="none" w:color="FFFFFF" w:sz="0"/>
              <w:left w:val="none" w:color="FFFFFF" w:sz="0"/>
              <w:bottom w:val="single" w:color="999999" w:sz="4"/>
              <w:right w:val="none" w:color="FFFFFF" w:sz="0"/>
            </w:tcBorders>
            <w:tcMar>
              <w:top w:type="dxa" w:w="80"/>
              <w:left w:type="dxa" w:w="120"/>
              <w:bottom w:type="dxa" w:w="80"/>
              <w:right w:type="dxa" w:w="120"/>
            </w:tcMar>
          </w:tcPr>
          <w:p>
            <w:pPr>
              <w:spacing w:after="20" w:before="20" w:line="252"/>
              <w:jc w:val="left"/>
            </w:pPr>
            <w:r>
              <w:rPr>
                <w:rFonts w:ascii="Helvetica Neue" w:cs="Helvetica Neue" w:eastAsia="Helvetica Neue" w:hAnsi="Helvetica Neue"/>
                <w:b/>
                <w:bCs/>
                <w:color w:val="333333"/>
                <w:sz w:val="20"/>
                <w:szCs w:val="20"/>
              </w:rPr>
              <w:t xml:space="preserve">Status</w:t>
            </w:r>
          </w:p>
        </w:tc>
      </w:tr>
      <w:tr>
        <w:tc>
          <w:tcPr>
            <w:tcW w:type="dxa" w:w="4400"/>
            <w:tcBorders>
              <w:top w:val="none" w:color="FFFFFF" w:sz="0"/>
              <w:left w:val="none" w:color="FFFFFF" w:sz="0"/>
              <w:bottom w:val="single" w:color="CCCCCC" w:sz="1"/>
              <w:right w:val="none" w:color="FFFFFF" w:sz="0"/>
            </w:tcBorders>
            <w:tcMar>
              <w:top w:type="dxa" w:w="80"/>
              <w:left w:type="dxa" w:w="120"/>
              <w:bottom w:type="dxa" w:w="80"/>
              <w:right w:type="dxa" w:w="120"/>
            </w:tcMar>
          </w:tcPr>
          <w:p>
            <w:pPr>
              <w:spacing w:after="20" w:before="20" w:line="252"/>
              <w:jc w:val="left"/>
            </w:pPr>
            <w:r>
              <w:rPr>
                <w:rFonts w:ascii="Helvetica Neue" w:cs="Helvetica Neue" w:eastAsia="Helvetica Neue" w:hAnsi="Helvetica Neue"/>
                <w:b w:val="false"/>
                <w:bCs w:val="false"/>
                <w:color w:val="333333"/>
                <w:sz w:val="20"/>
                <w:szCs w:val="20"/>
              </w:rPr>
              <w:t xml:space="preserve">Any machine-learned component in Stage 1</w:t>
            </w:r>
          </w:p>
        </w:tc>
        <w:tc>
          <w:tcPr>
            <w:tcW w:type="dxa" w:w="4240"/>
            <w:tcBorders>
              <w:top w:val="none" w:color="FFFFFF" w:sz="0"/>
              <w:left w:val="none" w:color="FFFFFF" w:sz="0"/>
              <w:bottom w:val="single" w:color="CCCCCC" w:sz="1"/>
              <w:right w:val="none" w:color="FFFFFF" w:sz="0"/>
            </w:tcBorders>
            <w:tcMar>
              <w:top w:type="dxa" w:w="80"/>
              <w:left w:type="dxa" w:w="120"/>
              <w:bottom w:type="dxa" w:w="80"/>
              <w:right w:type="dxa" w:w="120"/>
            </w:tcMar>
          </w:tcPr>
          <w:p>
            <w:pPr>
              <w:spacing w:after="20" w:before="20" w:line="252"/>
              <w:jc w:val="left"/>
            </w:pPr>
            <w:r>
              <w:rPr>
                <w:rFonts w:ascii="Helvetica Neue" w:cs="Helvetica Neue" w:eastAsia="Helvetica Neue" w:hAnsi="Helvetica Neue"/>
                <w:b w:val="false"/>
                <w:bCs w:val="false"/>
                <w:color w:val="333333"/>
                <w:sz w:val="20"/>
                <w:szCs w:val="20"/>
              </w:rPr>
              <w:t xml:space="preserve">Excluded by definition — the point of a pre-filter is that it is cheap</w:t>
            </w:r>
          </w:p>
        </w:tc>
      </w:tr>
      <w:tr>
        <w:tc>
          <w:tcPr>
            <w:tcW w:type="dxa" w:w="4400"/>
            <w:tcBorders>
              <w:top w:val="none" w:color="FFFFFF" w:sz="0"/>
              <w:left w:val="none" w:color="FFFFFF" w:sz="0"/>
              <w:bottom w:val="single" w:color="CCCCCC" w:sz="1"/>
              <w:right w:val="none" w:color="FFFFFF" w:sz="0"/>
            </w:tcBorders>
            <w:tcMar>
              <w:top w:type="dxa" w:w="80"/>
              <w:left w:type="dxa" w:w="120"/>
              <w:bottom w:type="dxa" w:w="80"/>
              <w:right w:type="dxa" w:w="120"/>
            </w:tcMar>
          </w:tcPr>
          <w:p>
            <w:pPr>
              <w:spacing w:after="20" w:before="20" w:line="252"/>
              <w:jc w:val="left"/>
            </w:pPr>
            <w:r>
              <w:rPr>
                <w:rFonts w:ascii="Helvetica Neue" w:cs="Helvetica Neue" w:eastAsia="Helvetica Neue" w:hAnsi="Helvetica Neue"/>
                <w:b w:val="false"/>
                <w:bCs w:val="false"/>
                <w:color w:val="333333"/>
                <w:sz w:val="20"/>
                <w:szCs w:val="20"/>
              </w:rPr>
              <w:t xml:space="preserve">Stage 2, the transformer classifier</w:t>
            </w:r>
          </w:p>
        </w:tc>
        <w:tc>
          <w:tcPr>
            <w:tcW w:type="dxa" w:w="4240"/>
            <w:tcBorders>
              <w:top w:val="none" w:color="FFFFFF" w:sz="0"/>
              <w:left w:val="none" w:color="FFFFFF" w:sz="0"/>
              <w:bottom w:val="single" w:color="CCCCCC" w:sz="1"/>
              <w:right w:val="none" w:color="FFFFFF" w:sz="0"/>
            </w:tcBorders>
            <w:tcMar>
              <w:top w:type="dxa" w:w="80"/>
              <w:left w:type="dxa" w:w="120"/>
              <w:bottom w:type="dxa" w:w="80"/>
              <w:right w:type="dxa" w:w="120"/>
            </w:tcMar>
          </w:tcPr>
          <w:p>
            <w:pPr>
              <w:spacing w:after="20" w:before="20" w:line="252"/>
              <w:jc w:val="left"/>
            </w:pPr>
            <w:r>
              <w:rPr>
                <w:rFonts w:ascii="Helvetica Neue" w:cs="Helvetica Neue" w:eastAsia="Helvetica Neue" w:hAnsi="Helvetica Neue"/>
                <w:b w:val="false"/>
                <w:bCs w:val="false"/>
                <w:color w:val="333333"/>
                <w:sz w:val="20"/>
                <w:szCs w:val="20"/>
              </w:rPr>
              <w:t xml:space="preserve">Phase 4 fine-tuning, Phase 5 deployment</w:t>
            </w:r>
          </w:p>
        </w:tc>
      </w:tr>
      <w:tr>
        <w:tc>
          <w:tcPr>
            <w:tcW w:type="dxa" w:w="4400"/>
            <w:tcBorders>
              <w:top w:val="none" w:color="FFFFFF" w:sz="0"/>
              <w:left w:val="none" w:color="FFFFFF" w:sz="0"/>
              <w:bottom w:val="single" w:color="CCCCCC" w:sz="1"/>
              <w:right w:val="none" w:color="FFFFFF" w:sz="0"/>
            </w:tcBorders>
            <w:tcMar>
              <w:top w:type="dxa" w:w="80"/>
              <w:left w:type="dxa" w:w="120"/>
              <w:bottom w:type="dxa" w:w="80"/>
              <w:right w:type="dxa" w:w="120"/>
            </w:tcMar>
          </w:tcPr>
          <w:p>
            <w:pPr>
              <w:spacing w:after="20" w:before="20" w:line="252"/>
              <w:jc w:val="left"/>
            </w:pPr>
            <w:r>
              <w:rPr>
                <w:rFonts w:ascii="Helvetica Neue" w:cs="Helvetica Neue" w:eastAsia="Helvetica Neue" w:hAnsi="Helvetica Neue"/>
                <w:b w:val="false"/>
                <w:bCs w:val="false"/>
                <w:color w:val="333333"/>
                <w:sz w:val="20"/>
                <w:szCs w:val="20"/>
              </w:rPr>
              <w:t xml:space="preserve">Wiring Stage 1 into the /v1/scan endpoint</w:t>
            </w:r>
          </w:p>
        </w:tc>
        <w:tc>
          <w:tcPr>
            <w:tcW w:type="dxa" w:w="4240"/>
            <w:tcBorders>
              <w:top w:val="none" w:color="FFFFFF" w:sz="0"/>
              <w:left w:val="none" w:color="FFFFFF" w:sz="0"/>
              <w:bottom w:val="single" w:color="CCCCCC" w:sz="1"/>
              <w:right w:val="none" w:color="FFFFFF" w:sz="0"/>
            </w:tcBorders>
            <w:tcMar>
              <w:top w:type="dxa" w:w="80"/>
              <w:left w:type="dxa" w:w="120"/>
              <w:bottom w:type="dxa" w:w="80"/>
              <w:right w:type="dxa" w:w="120"/>
            </w:tcMar>
          </w:tcPr>
          <w:p>
            <w:pPr>
              <w:spacing w:after="20" w:before="20" w:line="252"/>
              <w:jc w:val="left"/>
            </w:pPr>
            <w:r>
              <w:rPr>
                <w:rFonts w:ascii="Helvetica Neue" w:cs="Helvetica Neue" w:eastAsia="Helvetica Neue" w:hAnsi="Helvetica Neue"/>
                <w:b w:val="false"/>
                <w:bCs w:val="false"/>
                <w:color w:val="333333"/>
                <w:sz w:val="20"/>
                <w:szCs w:val="20"/>
              </w:rPr>
              <w:t xml:space="preserve">Phase 5 — see section 10</w:t>
            </w:r>
          </w:p>
        </w:tc>
      </w:tr>
      <w:tr>
        <w:tc>
          <w:tcPr>
            <w:tcW w:type="dxa" w:w="4400"/>
            <w:tcBorders>
              <w:top w:val="none" w:color="FFFFFF" w:sz="0"/>
              <w:left w:val="none" w:color="FFFFFF" w:sz="0"/>
              <w:bottom w:val="single" w:color="CCCCCC" w:sz="1"/>
              <w:right w:val="none" w:color="FFFFFF" w:sz="0"/>
            </w:tcBorders>
            <w:tcMar>
              <w:top w:type="dxa" w:w="80"/>
              <w:left w:type="dxa" w:w="120"/>
              <w:bottom w:type="dxa" w:w="80"/>
              <w:right w:type="dxa" w:w="120"/>
            </w:tcMar>
          </w:tcPr>
          <w:p>
            <w:pPr>
              <w:spacing w:after="20" w:before="20" w:line="252"/>
              <w:jc w:val="left"/>
            </w:pPr>
            <w:r>
              <w:rPr>
                <w:rFonts w:ascii="Helvetica Neue" w:cs="Helvetica Neue" w:eastAsia="Helvetica Neue" w:hAnsi="Helvetica Neue"/>
                <w:b w:val="false"/>
                <w:bCs w:val="false"/>
                <w:color w:val="333333"/>
                <w:sz w:val="20"/>
                <w:szCs w:val="20"/>
              </w:rPr>
              <w:t xml:space="preserve">Benchmarking against Rebuff</w:t>
            </w:r>
          </w:p>
        </w:tc>
        <w:tc>
          <w:tcPr>
            <w:tcW w:type="dxa" w:w="4240"/>
            <w:tcBorders>
              <w:top w:val="none" w:color="FFFFFF" w:sz="0"/>
              <w:left w:val="none" w:color="FFFFFF" w:sz="0"/>
              <w:bottom w:val="single" w:color="CCCCCC" w:sz="1"/>
              <w:right w:val="none" w:color="FFFFFF" w:sz="0"/>
            </w:tcBorders>
            <w:tcMar>
              <w:top w:type="dxa" w:w="80"/>
              <w:left w:type="dxa" w:w="120"/>
              <w:bottom w:type="dxa" w:w="80"/>
              <w:right w:type="dxa" w:w="120"/>
            </w:tcMar>
          </w:tcPr>
          <w:p>
            <w:pPr>
              <w:spacing w:after="20" w:before="20" w:line="252"/>
              <w:jc w:val="left"/>
            </w:pPr>
            <w:r>
              <w:rPr>
                <w:rFonts w:ascii="Helvetica Neue" w:cs="Helvetica Neue" w:eastAsia="Helvetica Neue" w:hAnsi="Helvetica Neue"/>
                <w:b w:val="false"/>
                <w:bCs w:val="false"/>
                <w:color w:val="333333"/>
                <w:sz w:val="20"/>
                <w:szCs w:val="20"/>
              </w:rPr>
              <w:t xml:space="preserve">Phase 6</w:t>
            </w:r>
          </w:p>
        </w:tc>
      </w:tr>
      <w:tr>
        <w:tc>
          <w:tcPr>
            <w:tcW w:type="dxa" w:w="4400"/>
            <w:tcBorders>
              <w:top w:val="none" w:color="FFFFFF" w:sz="0"/>
              <w:left w:val="none" w:color="FFFFFF" w:sz="0"/>
              <w:bottom w:val="single" w:color="CCCCCC" w:sz="1"/>
              <w:right w:val="none" w:color="FFFFFF" w:sz="0"/>
            </w:tcBorders>
            <w:tcMar>
              <w:top w:type="dxa" w:w="80"/>
              <w:left w:type="dxa" w:w="120"/>
              <w:bottom w:type="dxa" w:w="80"/>
              <w:right w:type="dxa" w:w="120"/>
            </w:tcMar>
          </w:tcPr>
          <w:p>
            <w:pPr>
              <w:spacing w:after="20" w:before="20" w:line="252"/>
              <w:jc w:val="left"/>
            </w:pPr>
            <w:r>
              <w:rPr>
                <w:rFonts w:ascii="Helvetica Neue" w:cs="Helvetica Neue" w:eastAsia="Helvetica Neue" w:hAnsi="Helvetica Neue"/>
                <w:b w:val="false"/>
                <w:bCs w:val="false"/>
                <w:color w:val="333333"/>
                <w:sz w:val="20"/>
                <w:szCs w:val="20"/>
              </w:rPr>
              <w:t xml:space="preserve">Changing the Phase 2 corpus to improve the numbers</w:t>
            </w:r>
          </w:p>
        </w:tc>
        <w:tc>
          <w:tcPr>
            <w:tcW w:type="dxa" w:w="4240"/>
            <w:tcBorders>
              <w:top w:val="none" w:color="FFFFFF" w:sz="0"/>
              <w:left w:val="none" w:color="FFFFFF" w:sz="0"/>
              <w:bottom w:val="single" w:color="CCCCCC" w:sz="1"/>
              <w:right w:val="none" w:color="FFFFFF" w:sz="0"/>
            </w:tcBorders>
            <w:tcMar>
              <w:top w:type="dxa" w:w="80"/>
              <w:left w:type="dxa" w:w="120"/>
              <w:bottom w:type="dxa" w:w="80"/>
              <w:right w:type="dxa" w:w="120"/>
            </w:tcMar>
          </w:tcPr>
          <w:p>
            <w:pPr>
              <w:spacing w:after="20" w:before="20" w:line="252"/>
              <w:jc w:val="left"/>
            </w:pPr>
            <w:r>
              <w:rPr>
                <w:rFonts w:ascii="Helvetica Neue" w:cs="Helvetica Neue" w:eastAsia="Helvetica Neue" w:hAnsi="Helvetica Neue"/>
                <w:b w:val="false"/>
                <w:bCs w:val="false"/>
                <w:color w:val="333333"/>
                <w:sz w:val="20"/>
                <w:szCs w:val="20"/>
              </w:rPr>
              <w:t xml:space="preserve">Excluded — that is fitting the data to the detector</w:t>
            </w:r>
          </w:p>
        </w:tc>
      </w:tr>
      <w:tr>
        <w:tc>
          <w:tcPr>
            <w:tcW w:type="dxa" w:w="4400"/>
            <w:tcBorders>
              <w:top w:val="none" w:color="FFFFFF" w:sz="0"/>
              <w:left w:val="none" w:color="FFFFFF" w:sz="0"/>
              <w:bottom w:val="none" w:color="FFFFFF" w:sz="0"/>
              <w:right w:val="none" w:color="FFFFFF" w:sz="0"/>
            </w:tcBorders>
            <w:tcMar>
              <w:top w:type="dxa" w:w="80"/>
              <w:left w:type="dxa" w:w="120"/>
              <w:bottom w:type="dxa" w:w="80"/>
              <w:right w:type="dxa" w:w="120"/>
            </w:tcMar>
          </w:tcPr>
          <w:p>
            <w:pPr>
              <w:spacing w:after="20" w:before="20" w:line="252"/>
              <w:jc w:val="left"/>
            </w:pPr>
            <w:r>
              <w:rPr>
                <w:rFonts w:ascii="Helvetica Neue" w:cs="Helvetica Neue" w:eastAsia="Helvetica Neue" w:hAnsi="Helvetica Neue"/>
                <w:b w:val="false"/>
                <w:bCs w:val="false"/>
                <w:color w:val="333333"/>
                <w:sz w:val="20"/>
                <w:szCs w:val="20"/>
              </w:rPr>
              <w:t xml:space="preserve">Any second model, judge, or verification pass</w:t>
            </w:r>
          </w:p>
        </w:tc>
        <w:tc>
          <w:tcPr>
            <w:tcW w:type="dxa" w:w="4240"/>
            <w:tcBorders>
              <w:top w:val="none" w:color="FFFFFF" w:sz="0"/>
              <w:left w:val="none" w:color="FFFFFF" w:sz="0"/>
              <w:bottom w:val="none" w:color="FFFFFF" w:sz="0"/>
              <w:right w:val="none" w:color="FFFFFF" w:sz="0"/>
            </w:tcBorders>
            <w:tcMar>
              <w:top w:type="dxa" w:w="80"/>
              <w:left w:type="dxa" w:w="120"/>
              <w:bottom w:type="dxa" w:w="80"/>
              <w:right w:type="dxa" w:w="120"/>
            </w:tcMar>
          </w:tcPr>
          <w:p>
            <w:pPr>
              <w:spacing w:after="20" w:before="20" w:line="252"/>
              <w:jc w:val="left"/>
            </w:pPr>
            <w:r>
              <w:rPr>
                <w:rFonts w:ascii="Helvetica Neue" w:cs="Helvetica Neue" w:eastAsia="Helvetica Neue" w:hAnsi="Helvetica Neue"/>
                <w:b w:val="false"/>
                <w:bCs w:val="false"/>
                <w:color w:val="333333"/>
                <w:sz w:val="20"/>
                <w:szCs w:val="20"/>
              </w:rPr>
              <w:t xml:space="preserve">Excluded by design</w:t>
            </w:r>
          </w:p>
        </w:tc>
      </w:tr>
    </w:tbl>
    <w:p>
      <w:pPr>
        <w:pStyle w:val="Heading1"/>
        <w:spacing w:after="120" w:before="360" w:line="240"/>
        <w:jc w:val="left"/>
      </w:pPr>
      <w:r>
        <w:rPr>
          <w:rFonts w:ascii="Helvetica Neue" w:cs="Helvetica Neue" w:eastAsia="Helvetica Neue" w:hAnsi="Helvetica Neue"/>
          <w:b/>
          <w:bCs/>
          <w:color w:val="000000"/>
          <w:sz w:val="36"/>
          <w:szCs w:val="36"/>
        </w:rPr>
        <w:t xml:space="preserve">2. What Stage 1 is, and what it is for</w:t>
      </w:r>
    </w:p>
    <w:p>
      <w:pPr>
        <w:spacing w:after="120" w:before="120" w:line="276"/>
        <w:jc w:val="both"/>
      </w:pPr>
      <w:r>
        <w:rPr>
          <w:rFonts w:ascii="Helvetica Neue" w:cs="Helvetica Neue" w:eastAsia="Helvetica Neue" w:hAnsi="Helvetica Neue"/>
          <w:i w:val="false"/>
          <w:iCs w:val="false"/>
          <w:color w:val="333333"/>
          <w:sz w:val="22"/>
          <w:szCs w:val="22"/>
        </w:rPr>
        <w:t xml:space="preserve">Stage 1 exists because a transformer on every document is expensive on laptop-grade CPU, and because a great many injection payloads announce themselves. It is a cheap filter that runs first, and the whole argument for a two-stage design rests on it being genuinely cheap: if Stage 1 costs a meaningful fraction of Stage 2, the architecture has no justification. Latency is therefore measured in this phase, not left to Phase 6.</w:t>
      </w:r>
    </w:p>
    <w:p>
      <w:pPr>
        <w:spacing w:after="120" w:before="120" w:line="276"/>
        <w:jc w:val="both"/>
      </w:pPr>
      <w:r>
        <w:rPr>
          <w:rFonts w:ascii="Helvetica Neue" w:cs="Helvetica Neue" w:eastAsia="Helvetica Neue" w:hAnsi="Helvetica Neue"/>
          <w:i w:val="false"/>
          <w:iCs w:val="false"/>
          <w:color w:val="333333"/>
          <w:sz w:val="22"/>
          <w:szCs w:val="22"/>
        </w:rPr>
        <w:t xml:space="preserve">It is equally important to be clear about what Stage 1 cannot do. Heuristics catch what matches a known pattern. An attacker who phrases an instruction in a way no rule anticipates passes straight through, and no amount of rule-writing changes that in principle. Stage 1 is not a defence on its own, and this phase measures how far it gets precisely so that the gap Stage 2 has to close is a number rather than an assumption.</w:t>
      </w:r>
    </w:p>
    <w:p>
      <w:pPr>
        <w:spacing w:after="120" w:before="120" w:line="276"/>
        <w:jc w:val="both"/>
      </w:pPr>
      <w:r>
        <w:rPr>
          <w:rFonts w:ascii="Helvetica Neue" w:cs="Helvetica Neue" w:eastAsia="Helvetica Neue" w:hAnsi="Helvetica Neue"/>
          <w:b/>
          <w:bCs/>
          <w:color w:val="333333"/>
          <w:sz w:val="22"/>
          <w:szCs w:val="22"/>
        </w:rPr>
        <w:t xml:space="preserve">A note on the project's own history. </w:t>
      </w:r>
      <w:r>
        <w:rPr>
          <w:rFonts w:ascii="Helvetica Neue" w:cs="Helvetica Neue" w:eastAsia="Helvetica Neue" w:hAnsi="Helvetica Neue"/>
          <w:b w:val="false"/>
          <w:bCs w:val="false"/>
          <w:color w:val="333333"/>
          <w:sz w:val="22"/>
          <w:szCs w:val="22"/>
        </w:rPr>
        <w:t xml:space="preserve">A keyword-only classifier has been proposed for this project before and was rejected. This phase is not that proposal returning: Stage 1 is a pre-filter within a two-stage design, its limitations are measured rather than glossed, and the Phase 2 corpus was built specifically so that keyword-spotting cannot score well on it. If the heuristics turn out to perform strongly, that is a result about the corpus as much as about the rules, and it will be reported that way.</w:t>
      </w:r>
    </w:p>
    <w:p>
      <w:pPr>
        <w:pStyle w:val="Heading1"/>
        <w:spacing w:after="120" w:before="360" w:line="240"/>
        <w:jc w:val="left"/>
      </w:pPr>
      <w:r>
        <w:rPr>
          <w:rFonts w:ascii="Helvetica Neue" w:cs="Helvetica Neue" w:eastAsia="Helvetica Neue" w:hAnsi="Helvetica Neue"/>
          <w:b/>
          <w:bCs/>
          <w:color w:val="000000"/>
          <w:sz w:val="36"/>
          <w:szCs w:val="36"/>
        </w:rPr>
        <w:t xml:space="preserve">3. Normalisation: undoing obfuscation before matching</w:t>
      </w:r>
    </w:p>
    <w:p>
      <w:pPr>
        <w:spacing w:after="120" w:before="120" w:line="276"/>
        <w:jc w:val="both"/>
      </w:pPr>
      <w:r>
        <w:rPr>
          <w:rFonts w:ascii="Helvetica Neue" w:cs="Helvetica Neue" w:eastAsia="Helvetica Neue" w:hAnsi="Helvetica Neue"/>
          <w:i w:val="false"/>
          <w:iCs w:val="false"/>
          <w:color w:val="333333"/>
          <w:sz w:val="22"/>
          <w:szCs w:val="22"/>
        </w:rPr>
        <w:t xml:space="preserve">Three of the six attack techniques work by making a payload fail to match rather than by hiding its intent. Running phrase rules against raw text alone would miss all of them, so the detector first derives normalised variants of the document and runs the phrase rules against each.</w:t>
      </w:r>
    </w:p>
    <w:p>
      <w:pPr>
        <w:spacing w:after="60" w:before="0"/>
      </w:pPr>
    </w:p>
    <w:tbl>
      <w:tblPr>
        <w:tblW w:type="dxa" w:w="8640"/>
        <w:tblBorders>
          <w:top w:val="none" w:color="FFFFFF" w:sz="0"/>
          <w:left w:val="none" w:color="FFFFFF" w:sz="0"/>
          <w:bottom w:val="none" w:color="FFFFFF" w:sz="0"/>
          <w:right w:val="none" w:color="FFFFFF" w:sz="0"/>
          <w:insideH w:val="single" w:color="CCCCCC" w:sz="1"/>
          <w:insideV w:val="none" w:color="FFFFFF" w:sz="0"/>
        </w:tblBorders>
      </w:tblPr>
      <w:tblGrid>
        <w:gridCol w:w="1900"/>
        <w:gridCol w:w="3800"/>
        <w:gridCol w:w="2940"/>
      </w:tblGrid>
      <w:tr>
        <w:trPr>
          <w:tblHeader/>
        </w:trPr>
        <w:tc>
          <w:tcPr>
            <w:tcW w:type="dxa" w:w="1900"/>
            <w:tcBorders>
              <w:top w:val="none" w:color="FFFFFF" w:sz="0"/>
              <w:left w:val="none" w:color="FFFFFF" w:sz="0"/>
              <w:bottom w:val="single" w:color="999999" w:sz="4"/>
              <w:right w:val="none" w:color="FFFFFF" w:sz="0"/>
            </w:tcBorders>
            <w:tcMar>
              <w:top w:type="dxa" w:w="80"/>
              <w:left w:type="dxa" w:w="120"/>
              <w:bottom w:type="dxa" w:w="80"/>
              <w:right w:type="dxa" w:w="120"/>
            </w:tcMar>
          </w:tcPr>
          <w:p>
            <w:pPr>
              <w:spacing w:after="20" w:before="20" w:line="252"/>
              <w:jc w:val="left"/>
            </w:pPr>
            <w:r>
              <w:rPr>
                <w:rFonts w:ascii="Helvetica Neue" w:cs="Helvetica Neue" w:eastAsia="Helvetica Neue" w:hAnsi="Helvetica Neue"/>
                <w:b/>
                <w:bCs/>
                <w:color w:val="333333"/>
                <w:sz w:val="20"/>
                <w:szCs w:val="20"/>
              </w:rPr>
              <w:t xml:space="preserve">Variant</w:t>
            </w:r>
          </w:p>
        </w:tc>
        <w:tc>
          <w:tcPr>
            <w:tcW w:type="dxa" w:w="3800"/>
            <w:tcBorders>
              <w:top w:val="none" w:color="FFFFFF" w:sz="0"/>
              <w:left w:val="none" w:color="FFFFFF" w:sz="0"/>
              <w:bottom w:val="single" w:color="999999" w:sz="4"/>
              <w:right w:val="none" w:color="FFFFFF" w:sz="0"/>
            </w:tcBorders>
            <w:tcMar>
              <w:top w:type="dxa" w:w="80"/>
              <w:left w:type="dxa" w:w="120"/>
              <w:bottom w:type="dxa" w:w="80"/>
              <w:right w:type="dxa" w:w="120"/>
            </w:tcMar>
          </w:tcPr>
          <w:p>
            <w:pPr>
              <w:spacing w:after="20" w:before="20" w:line="252"/>
              <w:jc w:val="left"/>
            </w:pPr>
            <w:r>
              <w:rPr>
                <w:rFonts w:ascii="Helvetica Neue" w:cs="Helvetica Neue" w:eastAsia="Helvetica Neue" w:hAnsi="Helvetica Neue"/>
                <w:b/>
                <w:bCs/>
                <w:color w:val="333333"/>
                <w:sz w:val="20"/>
                <w:szCs w:val="20"/>
              </w:rPr>
              <w:t xml:space="preserve">Transformation</w:t>
            </w:r>
          </w:p>
        </w:tc>
        <w:tc>
          <w:tcPr>
            <w:tcW w:type="dxa" w:w="2940"/>
            <w:tcBorders>
              <w:top w:val="none" w:color="FFFFFF" w:sz="0"/>
              <w:left w:val="none" w:color="FFFFFF" w:sz="0"/>
              <w:bottom w:val="single" w:color="999999" w:sz="4"/>
              <w:right w:val="none" w:color="FFFFFF" w:sz="0"/>
            </w:tcBorders>
            <w:tcMar>
              <w:top w:type="dxa" w:w="80"/>
              <w:left w:type="dxa" w:w="120"/>
              <w:bottom w:type="dxa" w:w="80"/>
              <w:right w:type="dxa" w:w="120"/>
            </w:tcMar>
          </w:tcPr>
          <w:p>
            <w:pPr>
              <w:spacing w:after="20" w:before="20" w:line="252"/>
              <w:jc w:val="left"/>
            </w:pPr>
            <w:r>
              <w:rPr>
                <w:rFonts w:ascii="Helvetica Neue" w:cs="Helvetica Neue" w:eastAsia="Helvetica Neue" w:hAnsi="Helvetica Neue"/>
                <w:b/>
                <w:bCs/>
                <w:color w:val="333333"/>
                <w:sz w:val="20"/>
                <w:szCs w:val="20"/>
              </w:rPr>
              <w:t xml:space="preserve">Defeats</w:t>
            </w:r>
          </w:p>
        </w:tc>
      </w:tr>
      <w:tr>
        <w:tc>
          <w:tcPr>
            <w:tcW w:type="dxa" w:w="1900"/>
            <w:tcBorders>
              <w:top w:val="none" w:color="FFFFFF" w:sz="0"/>
              <w:left w:val="none" w:color="FFFFFF" w:sz="0"/>
              <w:bottom w:val="single" w:color="CCCCCC" w:sz="1"/>
              <w:right w:val="none" w:color="FFFFFF" w:sz="0"/>
            </w:tcBorders>
            <w:tcMar>
              <w:top w:type="dxa" w:w="80"/>
              <w:left w:type="dxa" w:w="120"/>
              <w:bottom w:type="dxa" w:w="80"/>
              <w:right w:type="dxa" w:w="120"/>
            </w:tcMar>
          </w:tcPr>
          <w:p>
            <w:pPr>
              <w:spacing w:after="20" w:before="20" w:line="252"/>
              <w:jc w:val="left"/>
            </w:pPr>
            <w:r>
              <w:rPr>
                <w:rFonts w:ascii="Helvetica Neue" w:cs="Helvetica Neue" w:eastAsia="Helvetica Neue" w:hAnsi="Helvetica Neue"/>
                <w:b w:val="false"/>
                <w:bCs w:val="false"/>
                <w:color w:val="333333"/>
                <w:sz w:val="20"/>
                <w:szCs w:val="20"/>
              </w:rPr>
              <w:t xml:space="preserve">raw</w:t>
            </w:r>
          </w:p>
        </w:tc>
        <w:tc>
          <w:tcPr>
            <w:tcW w:type="dxa" w:w="3800"/>
            <w:tcBorders>
              <w:top w:val="none" w:color="FFFFFF" w:sz="0"/>
              <w:left w:val="none" w:color="FFFFFF" w:sz="0"/>
              <w:bottom w:val="single" w:color="CCCCCC" w:sz="1"/>
              <w:right w:val="none" w:color="FFFFFF" w:sz="0"/>
            </w:tcBorders>
            <w:tcMar>
              <w:top w:type="dxa" w:w="80"/>
              <w:left w:type="dxa" w:w="120"/>
              <w:bottom w:type="dxa" w:w="80"/>
              <w:right w:type="dxa" w:w="120"/>
            </w:tcMar>
          </w:tcPr>
          <w:p>
            <w:pPr>
              <w:spacing w:after="20" w:before="20" w:line="252"/>
              <w:jc w:val="left"/>
            </w:pPr>
            <w:r>
              <w:rPr>
                <w:rFonts w:ascii="Helvetica Neue" w:cs="Helvetica Neue" w:eastAsia="Helvetica Neue" w:hAnsi="Helvetica Neue"/>
                <w:b w:val="false"/>
                <w:bCs w:val="false"/>
                <w:color w:val="333333"/>
                <w:sz w:val="20"/>
                <w:szCs w:val="20"/>
              </w:rPr>
              <w:t xml:space="preserve">The document as received.</w:t>
            </w:r>
          </w:p>
        </w:tc>
        <w:tc>
          <w:tcPr>
            <w:tcW w:type="dxa" w:w="2940"/>
            <w:tcBorders>
              <w:top w:val="none" w:color="FFFFFF" w:sz="0"/>
              <w:left w:val="none" w:color="FFFFFF" w:sz="0"/>
              <w:bottom w:val="single" w:color="CCCCCC" w:sz="1"/>
              <w:right w:val="none" w:color="FFFFFF" w:sz="0"/>
            </w:tcBorders>
            <w:tcMar>
              <w:top w:type="dxa" w:w="80"/>
              <w:left w:type="dxa" w:w="120"/>
              <w:bottom w:type="dxa" w:w="80"/>
              <w:right w:type="dxa" w:w="120"/>
            </w:tcMar>
          </w:tcPr>
          <w:p>
            <w:pPr>
              <w:spacing w:after="20" w:before="20" w:line="252"/>
              <w:jc w:val="left"/>
            </w:pPr>
            <w:r>
              <w:rPr>
                <w:rFonts w:ascii="Helvetica Neue" w:cs="Helvetica Neue" w:eastAsia="Helvetica Neue" w:hAnsi="Helvetica Neue"/>
                <w:b w:val="false"/>
                <w:bCs w:val="false"/>
                <w:color w:val="333333"/>
                <w:sz w:val="20"/>
                <w:szCs w:val="20"/>
              </w:rPr>
              <w:t xml:space="preserve">Nothing — the baseline pass.</w:t>
            </w:r>
          </w:p>
        </w:tc>
      </w:tr>
      <w:tr>
        <w:tc>
          <w:tcPr>
            <w:tcW w:type="dxa" w:w="1900"/>
            <w:tcBorders>
              <w:top w:val="none" w:color="FFFFFF" w:sz="0"/>
              <w:left w:val="none" w:color="FFFFFF" w:sz="0"/>
              <w:bottom w:val="single" w:color="CCCCCC" w:sz="1"/>
              <w:right w:val="none" w:color="FFFFFF" w:sz="0"/>
            </w:tcBorders>
            <w:tcMar>
              <w:top w:type="dxa" w:w="80"/>
              <w:left w:type="dxa" w:w="120"/>
              <w:bottom w:type="dxa" w:w="80"/>
              <w:right w:type="dxa" w:w="120"/>
            </w:tcMar>
          </w:tcPr>
          <w:p>
            <w:pPr>
              <w:spacing w:after="20" w:before="20" w:line="252"/>
              <w:jc w:val="left"/>
            </w:pPr>
            <w:r>
              <w:rPr>
                <w:rFonts w:ascii="Helvetica Neue" w:cs="Helvetica Neue" w:eastAsia="Helvetica Neue" w:hAnsi="Helvetica Neue"/>
                <w:b w:val="false"/>
                <w:bCs w:val="false"/>
                <w:color w:val="333333"/>
                <w:sz w:val="20"/>
                <w:szCs w:val="20"/>
              </w:rPr>
              <w:t xml:space="preserve">zero-width stripped</w:t>
            </w:r>
          </w:p>
        </w:tc>
        <w:tc>
          <w:tcPr>
            <w:tcW w:type="dxa" w:w="3800"/>
            <w:tcBorders>
              <w:top w:val="none" w:color="FFFFFF" w:sz="0"/>
              <w:left w:val="none" w:color="FFFFFF" w:sz="0"/>
              <w:bottom w:val="single" w:color="CCCCCC" w:sz="1"/>
              <w:right w:val="none" w:color="FFFFFF" w:sz="0"/>
            </w:tcBorders>
            <w:tcMar>
              <w:top w:type="dxa" w:w="80"/>
              <w:left w:type="dxa" w:w="120"/>
              <w:bottom w:type="dxa" w:w="80"/>
              <w:right w:type="dxa" w:w="120"/>
            </w:tcMar>
          </w:tcPr>
          <w:p>
            <w:pPr>
              <w:spacing w:after="20" w:before="20" w:line="252"/>
              <w:jc w:val="left"/>
            </w:pPr>
            <w:r>
              <w:rPr>
                <w:rFonts w:ascii="Helvetica Neue" w:cs="Helvetica Neue" w:eastAsia="Helvetica Neue" w:hAnsi="Helvetica Neue"/>
                <w:b w:val="false"/>
                <w:bCs w:val="false"/>
                <w:color w:val="333333"/>
                <w:sz w:val="20"/>
                <w:szCs w:val="20"/>
              </w:rPr>
              <w:t xml:space="preserve">Remove zero-width and Unicode Tag characters, then decode any Tag-encoded run back to ASCII.</w:t>
            </w:r>
          </w:p>
        </w:tc>
        <w:tc>
          <w:tcPr>
            <w:tcW w:type="dxa" w:w="2940"/>
            <w:tcBorders>
              <w:top w:val="none" w:color="FFFFFF" w:sz="0"/>
              <w:left w:val="none" w:color="FFFFFF" w:sz="0"/>
              <w:bottom w:val="single" w:color="CCCCCC" w:sz="1"/>
              <w:right w:val="none" w:color="FFFFFF" w:sz="0"/>
            </w:tcBorders>
            <w:tcMar>
              <w:top w:type="dxa" w:w="80"/>
              <w:left w:type="dxa" w:w="120"/>
              <w:bottom w:type="dxa" w:w="80"/>
              <w:right w:type="dxa" w:w="120"/>
            </w:tcMar>
          </w:tcPr>
          <w:p>
            <w:pPr>
              <w:spacing w:after="20" w:before="20" w:line="252"/>
              <w:jc w:val="left"/>
            </w:pPr>
            <w:r>
              <w:rPr>
                <w:rFonts w:ascii="Helvetica Neue" w:cs="Helvetica Neue" w:eastAsia="Helvetica Neue" w:hAnsi="Helvetica Neue"/>
                <w:b w:val="false"/>
                <w:bCs w:val="false"/>
                <w:color w:val="333333"/>
                <w:sz w:val="20"/>
                <w:szCs w:val="20"/>
              </w:rPr>
              <w:t xml:space="preserve">Zero-width obfuscation and Unicode Tag concealment.</w:t>
            </w:r>
          </w:p>
        </w:tc>
      </w:tr>
      <w:tr>
        <w:tc>
          <w:tcPr>
            <w:tcW w:type="dxa" w:w="1900"/>
            <w:tcBorders>
              <w:top w:val="none" w:color="FFFFFF" w:sz="0"/>
              <w:left w:val="none" w:color="FFFFFF" w:sz="0"/>
              <w:bottom w:val="single" w:color="CCCCCC" w:sz="1"/>
              <w:right w:val="none" w:color="FFFFFF" w:sz="0"/>
            </w:tcBorders>
            <w:tcMar>
              <w:top w:type="dxa" w:w="80"/>
              <w:left w:type="dxa" w:w="120"/>
              <w:bottom w:type="dxa" w:w="80"/>
              <w:right w:type="dxa" w:w="120"/>
            </w:tcMar>
          </w:tcPr>
          <w:p>
            <w:pPr>
              <w:spacing w:after="20" w:before="20" w:line="252"/>
              <w:jc w:val="left"/>
            </w:pPr>
            <w:r>
              <w:rPr>
                <w:rFonts w:ascii="Helvetica Neue" w:cs="Helvetica Neue" w:eastAsia="Helvetica Neue" w:hAnsi="Helvetica Neue"/>
                <w:b w:val="false"/>
                <w:bCs w:val="false"/>
                <w:color w:val="333333"/>
                <w:sz w:val="20"/>
                <w:szCs w:val="20"/>
              </w:rPr>
              <w:t xml:space="preserve">de-spaced</w:t>
            </w:r>
          </w:p>
        </w:tc>
        <w:tc>
          <w:tcPr>
            <w:tcW w:type="dxa" w:w="3800"/>
            <w:tcBorders>
              <w:top w:val="none" w:color="FFFFFF" w:sz="0"/>
              <w:left w:val="none" w:color="FFFFFF" w:sz="0"/>
              <w:bottom w:val="single" w:color="CCCCCC" w:sz="1"/>
              <w:right w:val="none" w:color="FFFFFF" w:sz="0"/>
            </w:tcBorders>
            <w:tcMar>
              <w:top w:type="dxa" w:w="80"/>
              <w:left w:type="dxa" w:w="120"/>
              <w:bottom w:type="dxa" w:w="80"/>
              <w:right w:type="dxa" w:w="120"/>
            </w:tcMar>
          </w:tcPr>
          <w:p>
            <w:pPr>
              <w:spacing w:after="20" w:before="20" w:line="252"/>
              <w:jc w:val="left"/>
            </w:pPr>
            <w:r>
              <w:rPr>
                <w:rFonts w:ascii="Helvetica Neue" w:cs="Helvetica Neue" w:eastAsia="Helvetica Neue" w:hAnsi="Helvetica Neue"/>
                <w:b w:val="false"/>
                <w:bCs w:val="false"/>
                <w:color w:val="333333"/>
                <w:sz w:val="20"/>
                <w:szCs w:val="20"/>
              </w:rPr>
              <w:t xml:space="preserve">Collapse runs of single-character tokens back into words.</w:t>
            </w:r>
          </w:p>
        </w:tc>
        <w:tc>
          <w:tcPr>
            <w:tcW w:type="dxa" w:w="2940"/>
            <w:tcBorders>
              <w:top w:val="none" w:color="FFFFFF" w:sz="0"/>
              <w:left w:val="none" w:color="FFFFFF" w:sz="0"/>
              <w:bottom w:val="single" w:color="CCCCCC" w:sz="1"/>
              <w:right w:val="none" w:color="FFFFFF" w:sz="0"/>
            </w:tcBorders>
            <w:tcMar>
              <w:top w:type="dxa" w:w="80"/>
              <w:left w:type="dxa" w:w="120"/>
              <w:bottom w:type="dxa" w:w="80"/>
              <w:right w:type="dxa" w:w="120"/>
            </w:tcMar>
          </w:tcPr>
          <w:p>
            <w:pPr>
              <w:spacing w:after="20" w:before="20" w:line="252"/>
              <w:jc w:val="left"/>
            </w:pPr>
            <w:r>
              <w:rPr>
                <w:rFonts w:ascii="Helvetica Neue" w:cs="Helvetica Neue" w:eastAsia="Helvetica Neue" w:hAnsi="Helvetica Neue"/>
                <w:b w:val="false"/>
                <w:bCs w:val="false"/>
                <w:color w:val="333333"/>
                <w:sz w:val="20"/>
                <w:szCs w:val="20"/>
              </w:rPr>
              <w:t xml:space="preserve">Character-spaced text.</w:t>
            </w:r>
          </w:p>
        </w:tc>
      </w:tr>
      <w:tr>
        <w:tc>
          <w:tcPr>
            <w:tcW w:type="dxa" w:w="1900"/>
            <w:tcBorders>
              <w:top w:val="none" w:color="FFFFFF" w:sz="0"/>
              <w:left w:val="none" w:color="FFFFFF" w:sz="0"/>
              <w:bottom w:val="single" w:color="CCCCCC" w:sz="1"/>
              <w:right w:val="none" w:color="FFFFFF" w:sz="0"/>
            </w:tcBorders>
            <w:tcMar>
              <w:top w:type="dxa" w:w="80"/>
              <w:left w:type="dxa" w:w="120"/>
              <w:bottom w:type="dxa" w:w="80"/>
              <w:right w:type="dxa" w:w="120"/>
            </w:tcMar>
          </w:tcPr>
          <w:p>
            <w:pPr>
              <w:spacing w:after="20" w:before="20" w:line="252"/>
              <w:jc w:val="left"/>
            </w:pPr>
            <w:r>
              <w:rPr>
                <w:rFonts w:ascii="Helvetica Neue" w:cs="Helvetica Neue" w:eastAsia="Helvetica Neue" w:hAnsi="Helvetica Neue"/>
                <w:b w:val="false"/>
                <w:bCs w:val="false"/>
                <w:color w:val="333333"/>
                <w:sz w:val="20"/>
                <w:szCs w:val="20"/>
              </w:rPr>
              <w:t xml:space="preserve">decoded</w:t>
            </w:r>
          </w:p>
        </w:tc>
        <w:tc>
          <w:tcPr>
            <w:tcW w:type="dxa" w:w="3800"/>
            <w:tcBorders>
              <w:top w:val="none" w:color="FFFFFF" w:sz="0"/>
              <w:left w:val="none" w:color="FFFFFF" w:sz="0"/>
              <w:bottom w:val="single" w:color="CCCCCC" w:sz="1"/>
              <w:right w:val="none" w:color="FFFFFF" w:sz="0"/>
            </w:tcBorders>
            <w:tcMar>
              <w:top w:type="dxa" w:w="80"/>
              <w:left w:type="dxa" w:w="120"/>
              <w:bottom w:type="dxa" w:w="80"/>
              <w:right w:type="dxa" w:w="120"/>
            </w:tcMar>
          </w:tcPr>
          <w:p>
            <w:pPr>
              <w:spacing w:after="20" w:before="20" w:line="252"/>
              <w:jc w:val="left"/>
            </w:pPr>
            <w:r>
              <w:rPr>
                <w:rFonts w:ascii="Helvetica Neue" w:cs="Helvetica Neue" w:eastAsia="Helvetica Neue" w:hAnsi="Helvetica Neue"/>
                <w:b w:val="false"/>
                <w:bCs w:val="false"/>
                <w:color w:val="333333"/>
                <w:sz w:val="20"/>
                <w:szCs w:val="20"/>
              </w:rPr>
              <w:t xml:space="preserve">Decode standalone Base64 runs and append the result where it is printable text.</w:t>
            </w:r>
          </w:p>
        </w:tc>
        <w:tc>
          <w:tcPr>
            <w:tcW w:type="dxa" w:w="2940"/>
            <w:tcBorders>
              <w:top w:val="none" w:color="FFFFFF" w:sz="0"/>
              <w:left w:val="none" w:color="FFFFFF" w:sz="0"/>
              <w:bottom w:val="single" w:color="CCCCCC" w:sz="1"/>
              <w:right w:val="none" w:color="FFFFFF" w:sz="0"/>
            </w:tcBorders>
            <w:tcMar>
              <w:top w:type="dxa" w:w="80"/>
              <w:left w:type="dxa" w:w="120"/>
              <w:bottom w:type="dxa" w:w="80"/>
              <w:right w:type="dxa" w:w="120"/>
            </w:tcMar>
          </w:tcPr>
          <w:p>
            <w:pPr>
              <w:spacing w:after="20" w:before="20" w:line="252"/>
              <w:jc w:val="left"/>
            </w:pPr>
            <w:r>
              <w:rPr>
                <w:rFonts w:ascii="Helvetica Neue" w:cs="Helvetica Neue" w:eastAsia="Helvetica Neue" w:hAnsi="Helvetica Neue"/>
                <w:b w:val="false"/>
                <w:bCs w:val="false"/>
                <w:color w:val="333333"/>
                <w:sz w:val="20"/>
                <w:szCs w:val="20"/>
              </w:rPr>
              <w:t xml:space="preserve">Base64-encoded payloads.</w:t>
            </w:r>
          </w:p>
        </w:tc>
      </w:tr>
      <w:tr>
        <w:tc>
          <w:tcPr>
            <w:tcW w:type="dxa" w:w="1900"/>
            <w:tcBorders>
              <w:top w:val="none" w:color="FFFFFF" w:sz="0"/>
              <w:left w:val="none" w:color="FFFFFF" w:sz="0"/>
              <w:bottom w:val="none" w:color="FFFFFF" w:sz="0"/>
              <w:right w:val="none" w:color="FFFFFF" w:sz="0"/>
            </w:tcBorders>
            <w:tcMar>
              <w:top w:type="dxa" w:w="80"/>
              <w:left w:type="dxa" w:w="120"/>
              <w:bottom w:type="dxa" w:w="80"/>
              <w:right w:type="dxa" w:w="120"/>
            </w:tcMar>
          </w:tcPr>
          <w:p>
            <w:pPr>
              <w:spacing w:after="20" w:before="20" w:line="252"/>
              <w:jc w:val="left"/>
            </w:pPr>
            <w:r>
              <w:rPr>
                <w:rFonts w:ascii="Helvetica Neue" w:cs="Helvetica Neue" w:eastAsia="Helvetica Neue" w:hAnsi="Helvetica Neue"/>
                <w:b w:val="false"/>
                <w:bCs w:val="false"/>
                <w:color w:val="333333"/>
                <w:sz w:val="20"/>
                <w:szCs w:val="20"/>
              </w:rPr>
              <w:t xml:space="preserve">metadata</w:t>
            </w:r>
          </w:p>
        </w:tc>
        <w:tc>
          <w:tcPr>
            <w:tcW w:type="dxa" w:w="3800"/>
            <w:tcBorders>
              <w:top w:val="none" w:color="FFFFFF" w:sz="0"/>
              <w:left w:val="none" w:color="FFFFFF" w:sz="0"/>
              <w:bottom w:val="none" w:color="FFFFFF" w:sz="0"/>
              <w:right w:val="none" w:color="FFFFFF" w:sz="0"/>
            </w:tcBorders>
            <w:tcMar>
              <w:top w:type="dxa" w:w="80"/>
              <w:left w:type="dxa" w:w="120"/>
              <w:bottom w:type="dxa" w:w="80"/>
              <w:right w:type="dxa" w:w="120"/>
            </w:tcMar>
          </w:tcPr>
          <w:p>
            <w:pPr>
              <w:spacing w:after="20" w:before="20" w:line="252"/>
              <w:jc w:val="left"/>
            </w:pPr>
            <w:r>
              <w:rPr>
                <w:rFonts w:ascii="Helvetica Neue" w:cs="Helvetica Neue" w:eastAsia="Helvetica Neue" w:hAnsi="Helvetica Neue"/>
                <w:b w:val="false"/>
                <w:bCs w:val="false"/>
                <w:color w:val="333333"/>
                <w:sz w:val="20"/>
                <w:szCs w:val="20"/>
              </w:rPr>
              <w:t xml:space="preserve">Each metadata field, examined separately rather than as part of the body.</w:t>
            </w:r>
          </w:p>
        </w:tc>
        <w:tc>
          <w:tcPr>
            <w:tcW w:type="dxa" w:w="2940"/>
            <w:tcBorders>
              <w:top w:val="none" w:color="FFFFFF" w:sz="0"/>
              <w:left w:val="none" w:color="FFFFFF" w:sz="0"/>
              <w:bottom w:val="none" w:color="FFFFFF" w:sz="0"/>
              <w:right w:val="none" w:color="FFFFFF" w:sz="0"/>
            </w:tcBorders>
            <w:tcMar>
              <w:top w:type="dxa" w:w="80"/>
              <w:left w:type="dxa" w:w="120"/>
              <w:bottom w:type="dxa" w:w="80"/>
              <w:right w:type="dxa" w:w="120"/>
            </w:tcMar>
          </w:tcPr>
          <w:p>
            <w:pPr>
              <w:spacing w:after="20" w:before="20" w:line="252"/>
              <w:jc w:val="left"/>
            </w:pPr>
            <w:r>
              <w:rPr>
                <w:rFonts w:ascii="Helvetica Neue" w:cs="Helvetica Neue" w:eastAsia="Helvetica Neue" w:hAnsi="Helvetica Neue"/>
                <w:b w:val="false"/>
                <w:bCs w:val="false"/>
                <w:color w:val="333333"/>
                <w:sz w:val="20"/>
                <w:szCs w:val="20"/>
              </w:rPr>
              <w:t xml:space="preserve">Metadata-borne payloads.</w:t>
            </w:r>
          </w:p>
        </w:tc>
      </w:tr>
    </w:tbl>
    <w:p>
      <w:pPr>
        <w:spacing w:after="120" w:before="120" w:line="276"/>
        <w:jc w:val="both"/>
      </w:pPr>
      <w:r>
        <w:rPr>
          <w:rFonts w:ascii="Helvetica Neue" w:cs="Helvetica Neue" w:eastAsia="Helvetica Neue" w:hAnsi="Helvetica Neue"/>
          <w:i w:val="false"/>
          <w:iCs w:val="false"/>
          <w:color w:val="333333"/>
          <w:sz w:val="22"/>
          <w:szCs w:val="22"/>
        </w:rPr>
        <w:t xml:space="preserve">A hit found only in a derived variant is worth more than the same hit in raw text, not less: the payload matched, and someone took the trouble to obfuscate it. Both the obfuscation rule and the phrase rule therefore contribute to the score, which is the intended behaviour rather than double-counting.</w:t>
      </w:r>
    </w:p>
    <w:p>
      <w:pPr>
        <w:pStyle w:val="Heading1"/>
        <w:spacing w:after="120" w:before="360" w:line="240"/>
        <w:jc w:val="left"/>
      </w:pPr>
      <w:r>
        <w:rPr>
          <w:rFonts w:ascii="Helvetica Neue" w:cs="Helvetica Neue" w:eastAsia="Helvetica Neue" w:hAnsi="Helvetica Neue"/>
          <w:b/>
          <w:bCs/>
          <w:color w:val="000000"/>
          <w:sz w:val="36"/>
          <w:szCs w:val="36"/>
        </w:rPr>
        <w:t xml:space="preserve">4. The rule set</w:t>
      </w:r>
    </w:p>
    <w:p>
      <w:pPr>
        <w:spacing w:after="120" w:before="120" w:line="276"/>
        <w:jc w:val="both"/>
      </w:pPr>
      <w:r>
        <w:rPr>
          <w:rFonts w:ascii="Helvetica Neue" w:cs="Helvetica Neue" w:eastAsia="Helvetica Neue" w:hAnsi="Helvetica Neue"/>
          <w:i w:val="false"/>
          <w:iCs w:val="false"/>
          <w:color w:val="333333"/>
          <w:sz w:val="22"/>
          <w:szCs w:val="22"/>
        </w:rPr>
        <w:t xml:space="preserve">Thirteen rules. Weights are the detector's only tunable parameters besides the threshold, and they are assigned by hand from how much a match constrains the space of legitimate documents — not fitted to the data, which would make Stage 1 a model trained without saying so.</w:t>
      </w:r>
    </w:p>
    <w:p>
      <w:pPr>
        <w:spacing w:after="60" w:before="0"/>
      </w:pPr>
    </w:p>
    <w:tbl>
      <w:tblPr>
        <w:tblW w:type="dxa" w:w="8640"/>
        <w:tblBorders>
          <w:top w:val="none" w:color="FFFFFF" w:sz="0"/>
          <w:left w:val="none" w:color="FFFFFF" w:sz="0"/>
          <w:bottom w:val="none" w:color="FFFFFF" w:sz="0"/>
          <w:right w:val="none" w:color="FFFFFF" w:sz="0"/>
          <w:insideH w:val="single" w:color="CCCCCC" w:sz="1"/>
          <w:insideV w:val="none" w:color="FFFFFF" w:sz="0"/>
        </w:tblBorders>
      </w:tblPr>
      <w:tblGrid>
        <w:gridCol w:w="1850"/>
        <w:gridCol w:w="5990"/>
        <w:gridCol w:w="800"/>
      </w:tblGrid>
      <w:tr>
        <w:trPr>
          <w:tblHeader/>
        </w:trPr>
        <w:tc>
          <w:tcPr>
            <w:tcW w:type="dxa" w:w="1850"/>
            <w:tcBorders>
              <w:top w:val="none" w:color="FFFFFF" w:sz="0"/>
              <w:left w:val="none" w:color="FFFFFF" w:sz="0"/>
              <w:bottom w:val="single" w:color="999999" w:sz="4"/>
              <w:right w:val="none" w:color="FFFFFF" w:sz="0"/>
            </w:tcBorders>
            <w:tcMar>
              <w:top w:type="dxa" w:w="80"/>
              <w:left w:type="dxa" w:w="120"/>
              <w:bottom w:type="dxa" w:w="80"/>
              <w:right w:type="dxa" w:w="120"/>
            </w:tcMar>
          </w:tcPr>
          <w:p>
            <w:pPr>
              <w:spacing w:after="20" w:before="20" w:line="252"/>
              <w:jc w:val="left"/>
            </w:pPr>
            <w:r>
              <w:rPr>
                <w:rFonts w:ascii="Helvetica Neue" w:cs="Helvetica Neue" w:eastAsia="Helvetica Neue" w:hAnsi="Helvetica Neue"/>
                <w:b/>
                <w:bCs/>
                <w:color w:val="333333"/>
                <w:sz w:val="20"/>
                <w:szCs w:val="20"/>
              </w:rPr>
              <w:t xml:space="preserve">Rule</w:t>
            </w:r>
          </w:p>
        </w:tc>
        <w:tc>
          <w:tcPr>
            <w:tcW w:type="dxa" w:w="5990"/>
            <w:tcBorders>
              <w:top w:val="none" w:color="FFFFFF" w:sz="0"/>
              <w:left w:val="none" w:color="FFFFFF" w:sz="0"/>
              <w:bottom w:val="single" w:color="999999" w:sz="4"/>
              <w:right w:val="none" w:color="FFFFFF" w:sz="0"/>
            </w:tcBorders>
            <w:tcMar>
              <w:top w:type="dxa" w:w="80"/>
              <w:left w:type="dxa" w:w="120"/>
              <w:bottom w:type="dxa" w:w="80"/>
              <w:right w:type="dxa" w:w="120"/>
            </w:tcMar>
          </w:tcPr>
          <w:p>
            <w:pPr>
              <w:spacing w:after="20" w:before="20" w:line="252"/>
              <w:jc w:val="left"/>
            </w:pPr>
            <w:r>
              <w:rPr>
                <w:rFonts w:ascii="Helvetica Neue" w:cs="Helvetica Neue" w:eastAsia="Helvetica Neue" w:hAnsi="Helvetica Neue"/>
                <w:b/>
                <w:bCs/>
                <w:color w:val="333333"/>
                <w:sz w:val="20"/>
                <w:szCs w:val="20"/>
              </w:rPr>
              <w:t xml:space="preserve">What it matches</w:t>
            </w:r>
          </w:p>
        </w:tc>
        <w:tc>
          <w:tcPr>
            <w:tcW w:type="dxa" w:w="800"/>
            <w:tcBorders>
              <w:top w:val="none" w:color="FFFFFF" w:sz="0"/>
              <w:left w:val="none" w:color="FFFFFF" w:sz="0"/>
              <w:bottom w:val="single" w:color="999999" w:sz="4"/>
              <w:right w:val="none" w:color="FFFFFF" w:sz="0"/>
            </w:tcBorders>
            <w:tcMar>
              <w:top w:type="dxa" w:w="80"/>
              <w:left w:type="dxa" w:w="120"/>
              <w:bottom w:type="dxa" w:w="80"/>
              <w:right w:type="dxa" w:w="120"/>
            </w:tcMar>
          </w:tcPr>
          <w:p>
            <w:pPr>
              <w:spacing w:after="20" w:before="20" w:line="252"/>
              <w:jc w:val="left"/>
            </w:pPr>
            <w:r>
              <w:rPr>
                <w:rFonts w:ascii="Helvetica Neue" w:cs="Helvetica Neue" w:eastAsia="Helvetica Neue" w:hAnsi="Helvetica Neue"/>
                <w:b/>
                <w:bCs/>
                <w:color w:val="333333"/>
                <w:sz w:val="20"/>
                <w:szCs w:val="20"/>
              </w:rPr>
              <w:t xml:space="preserve">W</w:t>
            </w:r>
          </w:p>
        </w:tc>
      </w:tr>
      <w:tr>
        <w:tc>
          <w:tcPr>
            <w:tcW w:type="dxa" w:w="1850"/>
            <w:tcBorders>
              <w:top w:val="none" w:color="FFFFFF" w:sz="0"/>
              <w:left w:val="none" w:color="FFFFFF" w:sz="0"/>
              <w:bottom w:val="single" w:color="CCCCCC" w:sz="1"/>
              <w:right w:val="none" w:color="FFFFFF" w:sz="0"/>
            </w:tcBorders>
            <w:tcMar>
              <w:top w:type="dxa" w:w="80"/>
              <w:left w:type="dxa" w:w="120"/>
              <w:bottom w:type="dxa" w:w="80"/>
              <w:right w:type="dxa" w:w="120"/>
            </w:tcMar>
          </w:tcPr>
          <w:p>
            <w:pPr>
              <w:spacing w:after="20" w:before="20" w:line="252"/>
              <w:jc w:val="left"/>
            </w:pPr>
            <w:r>
              <w:rPr>
                <w:rFonts w:ascii="Helvetica Neue" w:cs="Helvetica Neue" w:eastAsia="Helvetica Neue" w:hAnsi="Helvetica Neue"/>
                <w:b w:val="false"/>
                <w:bCs w:val="false"/>
                <w:color w:val="333333"/>
                <w:sz w:val="20"/>
                <w:szCs w:val="20"/>
              </w:rPr>
              <w:t xml:space="preserve">R1 override_phrase</w:t>
            </w:r>
          </w:p>
        </w:tc>
        <w:tc>
          <w:tcPr>
            <w:tcW w:type="dxa" w:w="5990"/>
            <w:tcBorders>
              <w:top w:val="none" w:color="FFFFFF" w:sz="0"/>
              <w:left w:val="none" w:color="FFFFFF" w:sz="0"/>
              <w:bottom w:val="single" w:color="CCCCCC" w:sz="1"/>
              <w:right w:val="none" w:color="FFFFFF" w:sz="0"/>
            </w:tcBorders>
            <w:tcMar>
              <w:top w:type="dxa" w:w="80"/>
              <w:left w:type="dxa" w:w="120"/>
              <w:bottom w:type="dxa" w:w="80"/>
              <w:right w:type="dxa" w:w="120"/>
            </w:tcMar>
          </w:tcPr>
          <w:p>
            <w:pPr>
              <w:spacing w:after="20" w:before="20" w:line="252"/>
              <w:jc w:val="left"/>
            </w:pPr>
            <w:r>
              <w:rPr>
                <w:rFonts w:ascii="Helvetica Neue" w:cs="Helvetica Neue" w:eastAsia="Helvetica Neue" w:hAnsi="Helvetica Neue"/>
                <w:b w:val="false"/>
                <w:bCs w:val="false"/>
                <w:color w:val="333333"/>
                <w:sz w:val="20"/>
                <w:szCs w:val="20"/>
              </w:rPr>
              <w:t xml:space="preserve">An ignore, disregard or forget verb whose object is instruction-like: instructions, directives, context, prompt, rules. The object requirement is what separates the attack from "ignore the third column", which is ordinary English and appears in the benign corpus.</w:t>
            </w:r>
          </w:p>
        </w:tc>
        <w:tc>
          <w:tcPr>
            <w:tcW w:type="dxa" w:w="800"/>
            <w:tcBorders>
              <w:top w:val="none" w:color="FFFFFF" w:sz="0"/>
              <w:left w:val="none" w:color="FFFFFF" w:sz="0"/>
              <w:bottom w:val="single" w:color="CCCCCC" w:sz="1"/>
              <w:right w:val="none" w:color="FFFFFF" w:sz="0"/>
            </w:tcBorders>
            <w:tcMar>
              <w:top w:type="dxa" w:w="80"/>
              <w:left w:type="dxa" w:w="120"/>
              <w:bottom w:type="dxa" w:w="80"/>
              <w:right w:type="dxa" w:w="120"/>
            </w:tcMar>
          </w:tcPr>
          <w:p>
            <w:pPr>
              <w:spacing w:after="20" w:before="20" w:line="252"/>
              <w:jc w:val="left"/>
            </w:pPr>
            <w:r>
              <w:rPr>
                <w:rFonts w:ascii="Helvetica Neue" w:cs="Helvetica Neue" w:eastAsia="Helvetica Neue" w:hAnsi="Helvetica Neue"/>
                <w:b w:val="false"/>
                <w:bCs w:val="false"/>
                <w:color w:val="333333"/>
                <w:sz w:val="20"/>
                <w:szCs w:val="20"/>
              </w:rPr>
              <w:t xml:space="preserve">0.60</w:t>
            </w:r>
          </w:p>
        </w:tc>
      </w:tr>
      <w:tr>
        <w:tc>
          <w:tcPr>
            <w:tcW w:type="dxa" w:w="1850"/>
            <w:tcBorders>
              <w:top w:val="none" w:color="FFFFFF" w:sz="0"/>
              <w:left w:val="none" w:color="FFFFFF" w:sz="0"/>
              <w:bottom w:val="single" w:color="CCCCCC" w:sz="1"/>
              <w:right w:val="none" w:color="FFFFFF" w:sz="0"/>
            </w:tcBorders>
            <w:tcMar>
              <w:top w:type="dxa" w:w="80"/>
              <w:left w:type="dxa" w:w="120"/>
              <w:bottom w:type="dxa" w:w="80"/>
              <w:right w:type="dxa" w:w="120"/>
            </w:tcMar>
          </w:tcPr>
          <w:p>
            <w:pPr>
              <w:spacing w:after="20" w:before="20" w:line="252"/>
              <w:jc w:val="left"/>
            </w:pPr>
            <w:r>
              <w:rPr>
                <w:rFonts w:ascii="Helvetica Neue" w:cs="Helvetica Neue" w:eastAsia="Helvetica Neue" w:hAnsi="Helvetica Neue"/>
                <w:b w:val="false"/>
                <w:bCs w:val="false"/>
                <w:color w:val="333333"/>
                <w:sz w:val="20"/>
                <w:szCs w:val="20"/>
              </w:rPr>
              <w:t xml:space="preserve">R2 role_reassign</w:t>
            </w:r>
          </w:p>
        </w:tc>
        <w:tc>
          <w:tcPr>
            <w:tcW w:type="dxa" w:w="5990"/>
            <w:tcBorders>
              <w:top w:val="none" w:color="FFFFFF" w:sz="0"/>
              <w:left w:val="none" w:color="FFFFFF" w:sz="0"/>
              <w:bottom w:val="single" w:color="CCCCCC" w:sz="1"/>
              <w:right w:val="none" w:color="FFFFFF" w:sz="0"/>
            </w:tcBorders>
            <w:tcMar>
              <w:top w:type="dxa" w:w="80"/>
              <w:left w:type="dxa" w:w="120"/>
              <w:bottom w:type="dxa" w:w="80"/>
              <w:right w:type="dxa" w:w="120"/>
            </w:tcMar>
          </w:tcPr>
          <w:p>
            <w:pPr>
              <w:spacing w:after="20" w:before="20" w:line="252"/>
              <w:jc w:val="left"/>
            </w:pPr>
            <w:r>
              <w:rPr>
                <w:rFonts w:ascii="Helvetica Neue" w:cs="Helvetica Neue" w:eastAsia="Helvetica Neue" w:hAnsi="Helvetica Neue"/>
                <w:b w:val="false"/>
                <w:bCs w:val="false"/>
                <w:color w:val="333333"/>
                <w:sz w:val="20"/>
                <w:szCs w:val="20"/>
              </w:rPr>
              <w:t xml:space="preserve">Role reassignment: you are now, act as, adopt the persona, from this point forward respond.</w:t>
            </w:r>
          </w:p>
        </w:tc>
        <w:tc>
          <w:tcPr>
            <w:tcW w:type="dxa" w:w="800"/>
            <w:tcBorders>
              <w:top w:val="none" w:color="FFFFFF" w:sz="0"/>
              <w:left w:val="none" w:color="FFFFFF" w:sz="0"/>
              <w:bottom w:val="single" w:color="CCCCCC" w:sz="1"/>
              <w:right w:val="none" w:color="FFFFFF" w:sz="0"/>
            </w:tcBorders>
            <w:tcMar>
              <w:top w:type="dxa" w:w="80"/>
              <w:left w:type="dxa" w:w="120"/>
              <w:bottom w:type="dxa" w:w="80"/>
              <w:right w:type="dxa" w:w="120"/>
            </w:tcMar>
          </w:tcPr>
          <w:p>
            <w:pPr>
              <w:spacing w:after="20" w:before="20" w:line="252"/>
              <w:jc w:val="left"/>
            </w:pPr>
            <w:r>
              <w:rPr>
                <w:rFonts w:ascii="Helvetica Neue" w:cs="Helvetica Neue" w:eastAsia="Helvetica Neue" w:hAnsi="Helvetica Neue"/>
                <w:b w:val="false"/>
                <w:bCs w:val="false"/>
                <w:color w:val="333333"/>
                <w:sz w:val="20"/>
                <w:szCs w:val="20"/>
              </w:rPr>
              <w:t xml:space="preserve">0.50</w:t>
            </w:r>
          </w:p>
        </w:tc>
      </w:tr>
      <w:tr>
        <w:tc>
          <w:tcPr>
            <w:tcW w:type="dxa" w:w="1850"/>
            <w:tcBorders>
              <w:top w:val="none" w:color="FFFFFF" w:sz="0"/>
              <w:left w:val="none" w:color="FFFFFF" w:sz="0"/>
              <w:bottom w:val="single" w:color="CCCCCC" w:sz="1"/>
              <w:right w:val="none" w:color="FFFFFF" w:sz="0"/>
            </w:tcBorders>
            <w:tcMar>
              <w:top w:type="dxa" w:w="80"/>
              <w:left w:type="dxa" w:w="120"/>
              <w:bottom w:type="dxa" w:w="80"/>
              <w:right w:type="dxa" w:w="120"/>
            </w:tcMar>
          </w:tcPr>
          <w:p>
            <w:pPr>
              <w:spacing w:after="20" w:before="20" w:line="252"/>
              <w:jc w:val="left"/>
            </w:pPr>
            <w:r>
              <w:rPr>
                <w:rFonts w:ascii="Helvetica Neue" w:cs="Helvetica Neue" w:eastAsia="Helvetica Neue" w:hAnsi="Helvetica Neue"/>
                <w:b w:val="false"/>
                <w:bCs w:val="false"/>
                <w:color w:val="333333"/>
                <w:sz w:val="20"/>
                <w:szCs w:val="20"/>
              </w:rPr>
              <w:t xml:space="preserve">R3 addresses_model</w:t>
            </w:r>
          </w:p>
        </w:tc>
        <w:tc>
          <w:tcPr>
            <w:tcW w:type="dxa" w:w="5990"/>
            <w:tcBorders>
              <w:top w:val="none" w:color="FFFFFF" w:sz="0"/>
              <w:left w:val="none" w:color="FFFFFF" w:sz="0"/>
              <w:bottom w:val="single" w:color="CCCCCC" w:sz="1"/>
              <w:right w:val="none" w:color="FFFFFF" w:sz="0"/>
            </w:tcBorders>
            <w:tcMar>
              <w:top w:type="dxa" w:w="80"/>
              <w:left w:type="dxa" w:w="120"/>
              <w:bottom w:type="dxa" w:w="80"/>
              <w:right w:type="dxa" w:w="120"/>
            </w:tcMar>
          </w:tcPr>
          <w:p>
            <w:pPr>
              <w:spacing w:after="20" w:before="20" w:line="252"/>
              <w:jc w:val="left"/>
            </w:pPr>
            <w:r>
              <w:rPr>
                <w:rFonts w:ascii="Helvetica Neue" w:cs="Helvetica Neue" w:eastAsia="Helvetica Neue" w:hAnsi="Helvetica Neue"/>
                <w:b w:val="false"/>
                <w:bCs w:val="false"/>
                <w:color w:val="333333"/>
                <w:sz w:val="20"/>
                <w:szCs w:val="20"/>
              </w:rPr>
              <w:t xml:space="preserve">A term for an automated reader — assistant, automated reader, language model, AI system — within a short window of an obligation: must, should, is required to, are instructed to. Business documents describe assistants; they do not instruct them.</w:t>
            </w:r>
          </w:p>
        </w:tc>
        <w:tc>
          <w:tcPr>
            <w:tcW w:type="dxa" w:w="800"/>
            <w:tcBorders>
              <w:top w:val="none" w:color="FFFFFF" w:sz="0"/>
              <w:left w:val="none" w:color="FFFFFF" w:sz="0"/>
              <w:bottom w:val="single" w:color="CCCCCC" w:sz="1"/>
              <w:right w:val="none" w:color="FFFFFF" w:sz="0"/>
            </w:tcBorders>
            <w:tcMar>
              <w:top w:type="dxa" w:w="80"/>
              <w:left w:type="dxa" w:w="120"/>
              <w:bottom w:type="dxa" w:w="80"/>
              <w:right w:type="dxa" w:w="120"/>
            </w:tcMar>
          </w:tcPr>
          <w:p>
            <w:pPr>
              <w:spacing w:after="20" w:before="20" w:line="252"/>
              <w:jc w:val="left"/>
            </w:pPr>
            <w:r>
              <w:rPr>
                <w:rFonts w:ascii="Helvetica Neue" w:cs="Helvetica Neue" w:eastAsia="Helvetica Neue" w:hAnsi="Helvetica Neue"/>
                <w:b w:val="false"/>
                <w:bCs w:val="false"/>
                <w:color w:val="333333"/>
                <w:sz w:val="20"/>
                <w:szCs w:val="20"/>
              </w:rPr>
              <w:t xml:space="preserve">0.60</w:t>
            </w:r>
          </w:p>
        </w:tc>
      </w:tr>
      <w:tr>
        <w:tc>
          <w:tcPr>
            <w:tcW w:type="dxa" w:w="1850"/>
            <w:tcBorders>
              <w:top w:val="none" w:color="FFFFFF" w:sz="0"/>
              <w:left w:val="none" w:color="FFFFFF" w:sz="0"/>
              <w:bottom w:val="single" w:color="CCCCCC" w:sz="1"/>
              <w:right w:val="none" w:color="FFFFFF" w:sz="0"/>
            </w:tcBorders>
            <w:tcMar>
              <w:top w:type="dxa" w:w="80"/>
              <w:left w:type="dxa" w:w="120"/>
              <w:bottom w:type="dxa" w:w="80"/>
              <w:right w:type="dxa" w:w="120"/>
            </w:tcMar>
          </w:tcPr>
          <w:p>
            <w:pPr>
              <w:spacing w:after="20" w:before="20" w:line="252"/>
              <w:jc w:val="left"/>
            </w:pPr>
            <w:r>
              <w:rPr>
                <w:rFonts w:ascii="Helvetica Neue" w:cs="Helvetica Neue" w:eastAsia="Helvetica Neue" w:hAnsi="Helvetica Neue"/>
                <w:b w:val="false"/>
                <w:bCs w:val="false"/>
                <w:color w:val="333333"/>
                <w:sz w:val="20"/>
                <w:szCs w:val="20"/>
              </w:rPr>
              <w:t xml:space="preserve">R4 prompt_exfiltration</w:t>
            </w:r>
          </w:p>
        </w:tc>
        <w:tc>
          <w:tcPr>
            <w:tcW w:type="dxa" w:w="5990"/>
            <w:tcBorders>
              <w:top w:val="none" w:color="FFFFFF" w:sz="0"/>
              <w:left w:val="none" w:color="FFFFFF" w:sz="0"/>
              <w:bottom w:val="single" w:color="CCCCCC" w:sz="1"/>
              <w:right w:val="none" w:color="FFFFFF" w:sz="0"/>
            </w:tcBorders>
            <w:tcMar>
              <w:top w:type="dxa" w:w="80"/>
              <w:left w:type="dxa" w:w="120"/>
              <w:bottom w:type="dxa" w:w="80"/>
              <w:right w:type="dxa" w:w="120"/>
            </w:tcMar>
          </w:tcPr>
          <w:p>
            <w:pPr>
              <w:spacing w:after="20" w:before="20" w:line="252"/>
              <w:jc w:val="left"/>
            </w:pPr>
            <w:r>
              <w:rPr>
                <w:rFonts w:ascii="Helvetica Neue" w:cs="Helvetica Neue" w:eastAsia="Helvetica Neue" w:hAnsi="Helvetica Neue"/>
                <w:b w:val="false"/>
                <w:bCs w:val="false"/>
                <w:color w:val="333333"/>
                <w:sz w:val="20"/>
                <w:szCs w:val="20"/>
              </w:rPr>
              <w:t xml:space="preserve">A term for the model's own context — system prompt, instruction block, context window, operating instructions, configuration values — near a disclosure verb: output, reveal, disclose, echo, reproduce, append.</w:t>
            </w:r>
          </w:p>
        </w:tc>
        <w:tc>
          <w:tcPr>
            <w:tcW w:type="dxa" w:w="800"/>
            <w:tcBorders>
              <w:top w:val="none" w:color="FFFFFF" w:sz="0"/>
              <w:left w:val="none" w:color="FFFFFF" w:sz="0"/>
              <w:bottom w:val="single" w:color="CCCCCC" w:sz="1"/>
              <w:right w:val="none" w:color="FFFFFF" w:sz="0"/>
            </w:tcBorders>
            <w:tcMar>
              <w:top w:type="dxa" w:w="80"/>
              <w:left w:type="dxa" w:w="120"/>
              <w:bottom w:type="dxa" w:w="80"/>
              <w:right w:type="dxa" w:w="120"/>
            </w:tcMar>
          </w:tcPr>
          <w:p>
            <w:pPr>
              <w:spacing w:after="20" w:before="20" w:line="252"/>
              <w:jc w:val="left"/>
            </w:pPr>
            <w:r>
              <w:rPr>
                <w:rFonts w:ascii="Helvetica Neue" w:cs="Helvetica Neue" w:eastAsia="Helvetica Neue" w:hAnsi="Helvetica Neue"/>
                <w:b w:val="false"/>
                <w:bCs w:val="false"/>
                <w:color w:val="333333"/>
                <w:sz w:val="20"/>
                <w:szCs w:val="20"/>
              </w:rPr>
              <w:t xml:space="preserve">0.60</w:t>
            </w:r>
          </w:p>
        </w:tc>
      </w:tr>
      <w:tr>
        <w:tc>
          <w:tcPr>
            <w:tcW w:type="dxa" w:w="1850"/>
            <w:tcBorders>
              <w:top w:val="none" w:color="FFFFFF" w:sz="0"/>
              <w:left w:val="none" w:color="FFFFFF" w:sz="0"/>
              <w:bottom w:val="single" w:color="CCCCCC" w:sz="1"/>
              <w:right w:val="none" w:color="FFFFFF" w:sz="0"/>
            </w:tcBorders>
            <w:tcMar>
              <w:top w:type="dxa" w:w="80"/>
              <w:left w:type="dxa" w:w="120"/>
              <w:bottom w:type="dxa" w:w="80"/>
              <w:right w:type="dxa" w:w="120"/>
            </w:tcMar>
          </w:tcPr>
          <w:p>
            <w:pPr>
              <w:spacing w:after="20" w:before="20" w:line="252"/>
              <w:jc w:val="left"/>
            </w:pPr>
            <w:r>
              <w:rPr>
                <w:rFonts w:ascii="Helvetica Neue" w:cs="Helvetica Neue" w:eastAsia="Helvetica Neue" w:hAnsi="Helvetica Neue"/>
                <w:b w:val="false"/>
                <w:bCs w:val="false"/>
                <w:color w:val="333333"/>
                <w:sz w:val="20"/>
                <w:szCs w:val="20"/>
              </w:rPr>
              <w:t xml:space="preserve">R5 conditioned_trigger</w:t>
            </w:r>
          </w:p>
        </w:tc>
        <w:tc>
          <w:tcPr>
            <w:tcW w:type="dxa" w:w="5990"/>
            <w:tcBorders>
              <w:top w:val="none" w:color="FFFFFF" w:sz="0"/>
              <w:left w:val="none" w:color="FFFFFF" w:sz="0"/>
              <w:bottom w:val="single" w:color="CCCCCC" w:sz="1"/>
              <w:right w:val="none" w:color="FFFFFF" w:sz="0"/>
            </w:tcBorders>
            <w:tcMar>
              <w:top w:type="dxa" w:w="80"/>
              <w:left w:type="dxa" w:w="120"/>
              <w:bottom w:type="dxa" w:w="80"/>
              <w:right w:type="dxa" w:w="120"/>
            </w:tcMar>
          </w:tcPr>
          <w:p>
            <w:pPr>
              <w:spacing w:after="20" w:before="20" w:line="252"/>
              <w:jc w:val="left"/>
            </w:pPr>
            <w:r>
              <w:rPr>
                <w:rFonts w:ascii="Helvetica Neue" w:cs="Helvetica Neue" w:eastAsia="Helvetica Neue" w:hAnsi="Helvetica Neue"/>
                <w:b w:val="false"/>
                <w:bCs w:val="false"/>
                <w:color w:val="333333"/>
                <w:sz w:val="20"/>
                <w:szCs w:val="20"/>
              </w:rPr>
              <w:t xml:space="preserve">A trigger clause (when the user asks, if anyone asks, whenever this page is cited, the next time you are asked) followed by a directive verb.</w:t>
            </w:r>
          </w:p>
        </w:tc>
        <w:tc>
          <w:tcPr>
            <w:tcW w:type="dxa" w:w="800"/>
            <w:tcBorders>
              <w:top w:val="none" w:color="FFFFFF" w:sz="0"/>
              <w:left w:val="none" w:color="FFFFFF" w:sz="0"/>
              <w:bottom w:val="single" w:color="CCCCCC" w:sz="1"/>
              <w:right w:val="none" w:color="FFFFFF" w:sz="0"/>
            </w:tcBorders>
            <w:tcMar>
              <w:top w:type="dxa" w:w="80"/>
              <w:left w:type="dxa" w:w="120"/>
              <w:bottom w:type="dxa" w:w="80"/>
              <w:right w:type="dxa" w:w="120"/>
            </w:tcMar>
          </w:tcPr>
          <w:p>
            <w:pPr>
              <w:spacing w:after="20" w:before="20" w:line="252"/>
              <w:jc w:val="left"/>
            </w:pPr>
            <w:r>
              <w:rPr>
                <w:rFonts w:ascii="Helvetica Neue" w:cs="Helvetica Neue" w:eastAsia="Helvetica Neue" w:hAnsi="Helvetica Neue"/>
                <w:b w:val="false"/>
                <w:bCs w:val="false"/>
                <w:color w:val="333333"/>
                <w:sz w:val="20"/>
                <w:szCs w:val="20"/>
              </w:rPr>
              <w:t xml:space="preserve">0.50</w:t>
            </w:r>
          </w:p>
        </w:tc>
      </w:tr>
      <w:tr>
        <w:tc>
          <w:tcPr>
            <w:tcW w:type="dxa" w:w="1850"/>
            <w:tcBorders>
              <w:top w:val="none" w:color="FFFFFF" w:sz="0"/>
              <w:left w:val="none" w:color="FFFFFF" w:sz="0"/>
              <w:bottom w:val="single" w:color="CCCCCC" w:sz="1"/>
              <w:right w:val="none" w:color="FFFFFF" w:sz="0"/>
            </w:tcBorders>
            <w:tcMar>
              <w:top w:type="dxa" w:w="80"/>
              <w:left w:type="dxa" w:w="120"/>
              <w:bottom w:type="dxa" w:w="80"/>
              <w:right w:type="dxa" w:w="120"/>
            </w:tcMar>
          </w:tcPr>
          <w:p>
            <w:pPr>
              <w:spacing w:after="20" w:before="20" w:line="252"/>
              <w:jc w:val="left"/>
            </w:pPr>
            <w:r>
              <w:rPr>
                <w:rFonts w:ascii="Helvetica Neue" w:cs="Helvetica Neue" w:eastAsia="Helvetica Neue" w:hAnsi="Helvetica Neue"/>
                <w:b w:val="false"/>
                <w:bCs w:val="false"/>
                <w:color w:val="333333"/>
                <w:sz w:val="20"/>
                <w:szCs w:val="20"/>
              </w:rPr>
              <w:t xml:space="preserve">R6 unicode_tag_chars</w:t>
            </w:r>
          </w:p>
        </w:tc>
        <w:tc>
          <w:tcPr>
            <w:tcW w:type="dxa" w:w="5990"/>
            <w:tcBorders>
              <w:top w:val="none" w:color="FFFFFF" w:sz="0"/>
              <w:left w:val="none" w:color="FFFFFF" w:sz="0"/>
              <w:bottom w:val="single" w:color="CCCCCC" w:sz="1"/>
              <w:right w:val="none" w:color="FFFFFF" w:sz="0"/>
            </w:tcBorders>
            <w:tcMar>
              <w:top w:type="dxa" w:w="80"/>
              <w:left w:type="dxa" w:w="120"/>
              <w:bottom w:type="dxa" w:w="80"/>
              <w:right w:type="dxa" w:w="120"/>
            </w:tcMar>
          </w:tcPr>
          <w:p>
            <w:pPr>
              <w:spacing w:after="20" w:before="20" w:line="252"/>
              <w:jc w:val="left"/>
            </w:pPr>
            <w:r>
              <w:rPr>
                <w:rFonts w:ascii="Helvetica Neue" w:cs="Helvetica Neue" w:eastAsia="Helvetica Neue" w:hAnsi="Helvetica Neue"/>
                <w:b w:val="false"/>
                <w:bCs w:val="false"/>
                <w:color w:val="333333"/>
                <w:sz w:val="20"/>
                <w:szCs w:val="20"/>
              </w:rPr>
              <w:t xml:space="preserve">Any character in the Unicode Tags block. Essentially conclusive: no legitimate business document contains these.</w:t>
            </w:r>
          </w:p>
        </w:tc>
        <w:tc>
          <w:tcPr>
            <w:tcW w:type="dxa" w:w="800"/>
            <w:tcBorders>
              <w:top w:val="none" w:color="FFFFFF" w:sz="0"/>
              <w:left w:val="none" w:color="FFFFFF" w:sz="0"/>
              <w:bottom w:val="single" w:color="CCCCCC" w:sz="1"/>
              <w:right w:val="none" w:color="FFFFFF" w:sz="0"/>
            </w:tcBorders>
            <w:tcMar>
              <w:top w:type="dxa" w:w="80"/>
              <w:left w:type="dxa" w:w="120"/>
              <w:bottom w:type="dxa" w:w="80"/>
              <w:right w:type="dxa" w:w="120"/>
            </w:tcMar>
          </w:tcPr>
          <w:p>
            <w:pPr>
              <w:spacing w:after="20" w:before="20" w:line="252"/>
              <w:jc w:val="left"/>
            </w:pPr>
            <w:r>
              <w:rPr>
                <w:rFonts w:ascii="Helvetica Neue" w:cs="Helvetica Neue" w:eastAsia="Helvetica Neue" w:hAnsi="Helvetica Neue"/>
                <w:b w:val="false"/>
                <w:bCs w:val="false"/>
                <w:color w:val="333333"/>
                <w:sz w:val="20"/>
                <w:szCs w:val="20"/>
              </w:rPr>
              <w:t xml:space="preserve">0.90</w:t>
            </w:r>
          </w:p>
        </w:tc>
      </w:tr>
      <w:tr>
        <w:tc>
          <w:tcPr>
            <w:tcW w:type="dxa" w:w="1850"/>
            <w:tcBorders>
              <w:top w:val="none" w:color="FFFFFF" w:sz="0"/>
              <w:left w:val="none" w:color="FFFFFF" w:sz="0"/>
              <w:bottom w:val="single" w:color="CCCCCC" w:sz="1"/>
              <w:right w:val="none" w:color="FFFFFF" w:sz="0"/>
            </w:tcBorders>
            <w:tcMar>
              <w:top w:type="dxa" w:w="80"/>
              <w:left w:type="dxa" w:w="120"/>
              <w:bottom w:type="dxa" w:w="80"/>
              <w:right w:type="dxa" w:w="120"/>
            </w:tcMar>
          </w:tcPr>
          <w:p>
            <w:pPr>
              <w:spacing w:after="20" w:before="20" w:line="252"/>
              <w:jc w:val="left"/>
            </w:pPr>
            <w:r>
              <w:rPr>
                <w:rFonts w:ascii="Helvetica Neue" w:cs="Helvetica Neue" w:eastAsia="Helvetica Neue" w:hAnsi="Helvetica Neue"/>
                <w:b w:val="false"/>
                <w:bCs w:val="false"/>
                <w:color w:val="333333"/>
                <w:sz w:val="20"/>
                <w:szCs w:val="20"/>
              </w:rPr>
              <w:t xml:space="preserve">R7 zero_width_chars</w:t>
            </w:r>
          </w:p>
        </w:tc>
        <w:tc>
          <w:tcPr>
            <w:tcW w:type="dxa" w:w="5990"/>
            <w:tcBorders>
              <w:top w:val="none" w:color="FFFFFF" w:sz="0"/>
              <w:left w:val="none" w:color="FFFFFF" w:sz="0"/>
              <w:bottom w:val="single" w:color="CCCCCC" w:sz="1"/>
              <w:right w:val="none" w:color="FFFFFF" w:sz="0"/>
            </w:tcBorders>
            <w:tcMar>
              <w:top w:type="dxa" w:w="80"/>
              <w:left w:type="dxa" w:w="120"/>
              <w:bottom w:type="dxa" w:w="80"/>
              <w:right w:type="dxa" w:w="120"/>
            </w:tcMar>
          </w:tcPr>
          <w:p>
            <w:pPr>
              <w:spacing w:after="20" w:before="20" w:line="252"/>
              <w:jc w:val="left"/>
            </w:pPr>
            <w:r>
              <w:rPr>
                <w:rFonts w:ascii="Helvetica Neue" w:cs="Helvetica Neue" w:eastAsia="Helvetica Neue" w:hAnsi="Helvetica Neue"/>
                <w:b w:val="false"/>
                <w:bCs w:val="false"/>
                <w:color w:val="333333"/>
                <w:sz w:val="20"/>
                <w:szCs w:val="20"/>
              </w:rPr>
              <w:t xml:space="preserve">Zero-width space, joiner, non-joiner or byte-order mark. Weighted by count, because one or two can survive an innocent copy and paste.</w:t>
            </w:r>
          </w:p>
        </w:tc>
        <w:tc>
          <w:tcPr>
            <w:tcW w:type="dxa" w:w="800"/>
            <w:tcBorders>
              <w:top w:val="none" w:color="FFFFFF" w:sz="0"/>
              <w:left w:val="none" w:color="FFFFFF" w:sz="0"/>
              <w:bottom w:val="single" w:color="CCCCCC" w:sz="1"/>
              <w:right w:val="none" w:color="FFFFFF" w:sz="0"/>
            </w:tcBorders>
            <w:tcMar>
              <w:top w:type="dxa" w:w="80"/>
              <w:left w:type="dxa" w:w="120"/>
              <w:bottom w:type="dxa" w:w="80"/>
              <w:right w:type="dxa" w:w="120"/>
            </w:tcMar>
          </w:tcPr>
          <w:p>
            <w:pPr>
              <w:spacing w:after="20" w:before="20" w:line="252"/>
              <w:jc w:val="left"/>
            </w:pPr>
            <w:r>
              <w:rPr>
                <w:rFonts w:ascii="Helvetica Neue" w:cs="Helvetica Neue" w:eastAsia="Helvetica Neue" w:hAnsi="Helvetica Neue"/>
                <w:b w:val="false"/>
                <w:bCs w:val="false"/>
                <w:color w:val="333333"/>
                <w:sz w:val="20"/>
                <w:szCs w:val="20"/>
              </w:rPr>
              <w:t xml:space="preserve">0.65 / 0.25</w:t>
            </w:r>
          </w:p>
        </w:tc>
      </w:tr>
      <w:tr>
        <w:tc>
          <w:tcPr>
            <w:tcW w:type="dxa" w:w="1850"/>
            <w:tcBorders>
              <w:top w:val="none" w:color="FFFFFF" w:sz="0"/>
              <w:left w:val="none" w:color="FFFFFF" w:sz="0"/>
              <w:bottom w:val="single" w:color="CCCCCC" w:sz="1"/>
              <w:right w:val="none" w:color="FFFFFF" w:sz="0"/>
            </w:tcBorders>
            <w:tcMar>
              <w:top w:type="dxa" w:w="80"/>
              <w:left w:type="dxa" w:w="120"/>
              <w:bottom w:type="dxa" w:w="80"/>
              <w:right w:type="dxa" w:w="120"/>
            </w:tcMar>
          </w:tcPr>
          <w:p>
            <w:pPr>
              <w:spacing w:after="20" w:before="20" w:line="252"/>
              <w:jc w:val="left"/>
            </w:pPr>
            <w:r>
              <w:rPr>
                <w:rFonts w:ascii="Helvetica Neue" w:cs="Helvetica Neue" w:eastAsia="Helvetica Neue" w:hAnsi="Helvetica Neue"/>
                <w:b w:val="false"/>
                <w:bCs w:val="false"/>
                <w:color w:val="333333"/>
                <w:sz w:val="20"/>
                <w:szCs w:val="20"/>
              </w:rPr>
              <w:t xml:space="preserve">R8 invisible_styling</w:t>
            </w:r>
          </w:p>
        </w:tc>
        <w:tc>
          <w:tcPr>
            <w:tcW w:type="dxa" w:w="5990"/>
            <w:tcBorders>
              <w:top w:val="none" w:color="FFFFFF" w:sz="0"/>
              <w:left w:val="none" w:color="FFFFFF" w:sz="0"/>
              <w:bottom w:val="single" w:color="CCCCCC" w:sz="1"/>
              <w:right w:val="none" w:color="FFFFFF" w:sz="0"/>
            </w:tcBorders>
            <w:tcMar>
              <w:top w:type="dxa" w:w="80"/>
              <w:left w:type="dxa" w:w="120"/>
              <w:bottom w:type="dxa" w:w="80"/>
              <w:right w:type="dxa" w:w="120"/>
            </w:tcMar>
          </w:tcPr>
          <w:p>
            <w:pPr>
              <w:spacing w:after="20" w:before="20" w:line="252"/>
              <w:jc w:val="left"/>
            </w:pPr>
            <w:r>
              <w:rPr>
                <w:rFonts w:ascii="Helvetica Neue" w:cs="Helvetica Neue" w:eastAsia="Helvetica Neue" w:hAnsi="Helvetica Neue"/>
                <w:b w:val="false"/>
                <w:bCs w:val="false"/>
                <w:color w:val="333333"/>
                <w:sz w:val="20"/>
                <w:szCs w:val="20"/>
              </w:rPr>
              <w:t xml:space="preserve">An inline style attribute that would render text invisible: a white or transparent colour, display none, or a font size of one pixel or less.</w:t>
            </w:r>
          </w:p>
        </w:tc>
        <w:tc>
          <w:tcPr>
            <w:tcW w:type="dxa" w:w="800"/>
            <w:tcBorders>
              <w:top w:val="none" w:color="FFFFFF" w:sz="0"/>
              <w:left w:val="none" w:color="FFFFFF" w:sz="0"/>
              <w:bottom w:val="single" w:color="CCCCCC" w:sz="1"/>
              <w:right w:val="none" w:color="FFFFFF" w:sz="0"/>
            </w:tcBorders>
            <w:tcMar>
              <w:top w:type="dxa" w:w="80"/>
              <w:left w:type="dxa" w:w="120"/>
              <w:bottom w:type="dxa" w:w="80"/>
              <w:right w:type="dxa" w:w="120"/>
            </w:tcMar>
          </w:tcPr>
          <w:p>
            <w:pPr>
              <w:spacing w:after="20" w:before="20" w:line="252"/>
              <w:jc w:val="left"/>
            </w:pPr>
            <w:r>
              <w:rPr>
                <w:rFonts w:ascii="Helvetica Neue" w:cs="Helvetica Neue" w:eastAsia="Helvetica Neue" w:hAnsi="Helvetica Neue"/>
                <w:b w:val="false"/>
                <w:bCs w:val="false"/>
                <w:color w:val="333333"/>
                <w:sz w:val="20"/>
                <w:szCs w:val="20"/>
              </w:rPr>
              <w:t xml:space="preserve">0.85</w:t>
            </w:r>
          </w:p>
        </w:tc>
      </w:tr>
      <w:tr>
        <w:tc>
          <w:tcPr>
            <w:tcW w:type="dxa" w:w="1850"/>
            <w:tcBorders>
              <w:top w:val="none" w:color="FFFFFF" w:sz="0"/>
              <w:left w:val="none" w:color="FFFFFF" w:sz="0"/>
              <w:bottom w:val="single" w:color="CCCCCC" w:sz="1"/>
              <w:right w:val="none" w:color="FFFFFF" w:sz="0"/>
            </w:tcBorders>
            <w:tcMar>
              <w:top w:type="dxa" w:w="80"/>
              <w:left w:type="dxa" w:w="120"/>
              <w:bottom w:type="dxa" w:w="80"/>
              <w:right w:type="dxa" w:w="120"/>
            </w:tcMar>
          </w:tcPr>
          <w:p>
            <w:pPr>
              <w:spacing w:after="20" w:before="20" w:line="252"/>
              <w:jc w:val="left"/>
            </w:pPr>
            <w:r>
              <w:rPr>
                <w:rFonts w:ascii="Helvetica Neue" w:cs="Helvetica Neue" w:eastAsia="Helvetica Neue" w:hAnsi="Helvetica Neue"/>
                <w:b w:val="false"/>
                <w:bCs w:val="false"/>
                <w:color w:val="333333"/>
                <w:sz w:val="20"/>
                <w:szCs w:val="20"/>
              </w:rPr>
              <w:t xml:space="preserve">R9 base64_blob</w:t>
            </w:r>
          </w:p>
        </w:tc>
        <w:tc>
          <w:tcPr>
            <w:tcW w:type="dxa" w:w="5990"/>
            <w:tcBorders>
              <w:top w:val="none" w:color="FFFFFF" w:sz="0"/>
              <w:left w:val="none" w:color="FFFFFF" w:sz="0"/>
              <w:bottom w:val="single" w:color="CCCCCC" w:sz="1"/>
              <w:right w:val="none" w:color="FFFFFF" w:sz="0"/>
            </w:tcBorders>
            <w:tcMar>
              <w:top w:type="dxa" w:w="80"/>
              <w:left w:type="dxa" w:w="120"/>
              <w:bottom w:type="dxa" w:w="80"/>
              <w:right w:type="dxa" w:w="120"/>
            </w:tcMar>
          </w:tcPr>
          <w:p>
            <w:pPr>
              <w:spacing w:after="20" w:before="20" w:line="252"/>
              <w:jc w:val="left"/>
            </w:pPr>
            <w:r>
              <w:rPr>
                <w:rFonts w:ascii="Helvetica Neue" w:cs="Helvetica Neue" w:eastAsia="Helvetica Neue" w:hAnsi="Helvetica Neue"/>
                <w:b w:val="false"/>
                <w:bCs w:val="false"/>
                <w:color w:val="333333"/>
                <w:sz w:val="20"/>
                <w:szCs w:val="20"/>
              </w:rPr>
              <w:t xml:space="preserve">A standalone Base64-shaped run of twenty-four characters or more. Low weight alone: checksums and identifiers look like this too.</w:t>
            </w:r>
          </w:p>
        </w:tc>
        <w:tc>
          <w:tcPr>
            <w:tcW w:type="dxa" w:w="800"/>
            <w:tcBorders>
              <w:top w:val="none" w:color="FFFFFF" w:sz="0"/>
              <w:left w:val="none" w:color="FFFFFF" w:sz="0"/>
              <w:bottom w:val="single" w:color="CCCCCC" w:sz="1"/>
              <w:right w:val="none" w:color="FFFFFF" w:sz="0"/>
            </w:tcBorders>
            <w:tcMar>
              <w:top w:type="dxa" w:w="80"/>
              <w:left w:type="dxa" w:w="120"/>
              <w:bottom w:type="dxa" w:w="80"/>
              <w:right w:type="dxa" w:w="120"/>
            </w:tcMar>
          </w:tcPr>
          <w:p>
            <w:pPr>
              <w:spacing w:after="20" w:before="20" w:line="252"/>
              <w:jc w:val="left"/>
            </w:pPr>
            <w:r>
              <w:rPr>
                <w:rFonts w:ascii="Helvetica Neue" w:cs="Helvetica Neue" w:eastAsia="Helvetica Neue" w:hAnsi="Helvetica Neue"/>
                <w:b w:val="false"/>
                <w:bCs w:val="false"/>
                <w:color w:val="333333"/>
                <w:sz w:val="20"/>
                <w:szCs w:val="20"/>
              </w:rPr>
              <w:t xml:space="preserve">0.30</w:t>
            </w:r>
          </w:p>
        </w:tc>
      </w:tr>
      <w:tr>
        <w:tc>
          <w:tcPr>
            <w:tcW w:type="dxa" w:w="1850"/>
            <w:tcBorders>
              <w:top w:val="none" w:color="FFFFFF" w:sz="0"/>
              <w:left w:val="none" w:color="FFFFFF" w:sz="0"/>
              <w:bottom w:val="single" w:color="CCCCCC" w:sz="1"/>
              <w:right w:val="none" w:color="FFFFFF" w:sz="0"/>
            </w:tcBorders>
            <w:tcMar>
              <w:top w:type="dxa" w:w="80"/>
              <w:left w:type="dxa" w:w="120"/>
              <w:bottom w:type="dxa" w:w="80"/>
              <w:right w:type="dxa" w:w="120"/>
            </w:tcMar>
          </w:tcPr>
          <w:p>
            <w:pPr>
              <w:spacing w:after="20" w:before="20" w:line="252"/>
              <w:jc w:val="left"/>
            </w:pPr>
            <w:r>
              <w:rPr>
                <w:rFonts w:ascii="Helvetica Neue" w:cs="Helvetica Neue" w:eastAsia="Helvetica Neue" w:hAnsi="Helvetica Neue"/>
                <w:b w:val="false"/>
                <w:bCs w:val="false"/>
                <w:color w:val="333333"/>
                <w:sz w:val="20"/>
                <w:szCs w:val="20"/>
              </w:rPr>
              <w:t xml:space="preserve">R10 decoded_instruction</w:t>
            </w:r>
          </w:p>
        </w:tc>
        <w:tc>
          <w:tcPr>
            <w:tcW w:type="dxa" w:w="5990"/>
            <w:tcBorders>
              <w:top w:val="none" w:color="FFFFFF" w:sz="0"/>
              <w:left w:val="none" w:color="FFFFFF" w:sz="0"/>
              <w:bottom w:val="single" w:color="CCCCCC" w:sz="1"/>
              <w:right w:val="none" w:color="FFFFFF" w:sz="0"/>
            </w:tcBorders>
            <w:tcMar>
              <w:top w:type="dxa" w:w="80"/>
              <w:left w:type="dxa" w:w="120"/>
              <w:bottom w:type="dxa" w:w="80"/>
              <w:right w:type="dxa" w:w="120"/>
            </w:tcMar>
          </w:tcPr>
          <w:p>
            <w:pPr>
              <w:spacing w:after="20" w:before="20" w:line="252"/>
              <w:jc w:val="left"/>
            </w:pPr>
            <w:r>
              <w:rPr>
                <w:rFonts w:ascii="Helvetica Neue" w:cs="Helvetica Neue" w:eastAsia="Helvetica Neue" w:hAnsi="Helvetica Neue"/>
                <w:b w:val="false"/>
                <w:bCs w:val="false"/>
                <w:color w:val="333333"/>
                <w:sz w:val="20"/>
                <w:szCs w:val="20"/>
              </w:rPr>
              <w:t xml:space="preserve">A Base64 run that decodes to printable English and whose decoded text matches one of R1 to R5. Near-conclusive, and the reason R9 can afford to be lenient.</w:t>
            </w:r>
          </w:p>
        </w:tc>
        <w:tc>
          <w:tcPr>
            <w:tcW w:type="dxa" w:w="800"/>
            <w:tcBorders>
              <w:top w:val="none" w:color="FFFFFF" w:sz="0"/>
              <w:left w:val="none" w:color="FFFFFF" w:sz="0"/>
              <w:bottom w:val="single" w:color="CCCCCC" w:sz="1"/>
              <w:right w:val="none" w:color="FFFFFF" w:sz="0"/>
            </w:tcBorders>
            <w:tcMar>
              <w:top w:type="dxa" w:w="80"/>
              <w:left w:type="dxa" w:w="120"/>
              <w:bottom w:type="dxa" w:w="80"/>
              <w:right w:type="dxa" w:w="120"/>
            </w:tcMar>
          </w:tcPr>
          <w:p>
            <w:pPr>
              <w:spacing w:after="20" w:before="20" w:line="252"/>
              <w:jc w:val="left"/>
            </w:pPr>
            <w:r>
              <w:rPr>
                <w:rFonts w:ascii="Helvetica Neue" w:cs="Helvetica Neue" w:eastAsia="Helvetica Neue" w:hAnsi="Helvetica Neue"/>
                <w:b w:val="false"/>
                <w:bCs w:val="false"/>
                <w:color w:val="333333"/>
                <w:sz w:val="20"/>
                <w:szCs w:val="20"/>
              </w:rPr>
              <w:t xml:space="preserve">0.90</w:t>
            </w:r>
          </w:p>
        </w:tc>
      </w:tr>
      <w:tr>
        <w:tc>
          <w:tcPr>
            <w:tcW w:type="dxa" w:w="1850"/>
            <w:tcBorders>
              <w:top w:val="none" w:color="FFFFFF" w:sz="0"/>
              <w:left w:val="none" w:color="FFFFFF" w:sz="0"/>
              <w:bottom w:val="single" w:color="CCCCCC" w:sz="1"/>
              <w:right w:val="none" w:color="FFFFFF" w:sz="0"/>
            </w:tcBorders>
            <w:tcMar>
              <w:top w:type="dxa" w:w="80"/>
              <w:left w:type="dxa" w:w="120"/>
              <w:bottom w:type="dxa" w:w="80"/>
              <w:right w:type="dxa" w:w="120"/>
            </w:tcMar>
          </w:tcPr>
          <w:p>
            <w:pPr>
              <w:spacing w:after="20" w:before="20" w:line="252"/>
              <w:jc w:val="left"/>
            </w:pPr>
            <w:r>
              <w:rPr>
                <w:rFonts w:ascii="Helvetica Neue" w:cs="Helvetica Neue" w:eastAsia="Helvetica Neue" w:hAnsi="Helvetica Neue"/>
                <w:b w:val="false"/>
                <w:bCs w:val="false"/>
                <w:color w:val="333333"/>
                <w:sz w:val="20"/>
                <w:szCs w:val="20"/>
              </w:rPr>
              <w:t xml:space="preserve">R11 char_spaced_run</w:t>
            </w:r>
          </w:p>
        </w:tc>
        <w:tc>
          <w:tcPr>
            <w:tcW w:type="dxa" w:w="5990"/>
            <w:tcBorders>
              <w:top w:val="none" w:color="FFFFFF" w:sz="0"/>
              <w:left w:val="none" w:color="FFFFFF" w:sz="0"/>
              <w:bottom w:val="single" w:color="CCCCCC" w:sz="1"/>
              <w:right w:val="none" w:color="FFFFFF" w:sz="0"/>
            </w:tcBorders>
            <w:tcMar>
              <w:top w:type="dxa" w:w="80"/>
              <w:left w:type="dxa" w:w="120"/>
              <w:bottom w:type="dxa" w:w="80"/>
              <w:right w:type="dxa" w:w="120"/>
            </w:tcMar>
          </w:tcPr>
          <w:p>
            <w:pPr>
              <w:spacing w:after="20" w:before="20" w:line="252"/>
              <w:jc w:val="left"/>
            </w:pPr>
            <w:r>
              <w:rPr>
                <w:rFonts w:ascii="Helvetica Neue" w:cs="Helvetica Neue" w:eastAsia="Helvetica Neue" w:hAnsi="Helvetica Neue"/>
                <w:b w:val="false"/>
                <w:bCs w:val="false"/>
                <w:color w:val="333333"/>
                <w:sz w:val="20"/>
                <w:szCs w:val="20"/>
              </w:rPr>
              <w:t xml:space="preserve">Eight or more consecutive single-character tokens. Effectively absent from business prose.</w:t>
            </w:r>
          </w:p>
        </w:tc>
        <w:tc>
          <w:tcPr>
            <w:tcW w:type="dxa" w:w="800"/>
            <w:tcBorders>
              <w:top w:val="none" w:color="FFFFFF" w:sz="0"/>
              <w:left w:val="none" w:color="FFFFFF" w:sz="0"/>
              <w:bottom w:val="single" w:color="CCCCCC" w:sz="1"/>
              <w:right w:val="none" w:color="FFFFFF" w:sz="0"/>
            </w:tcBorders>
            <w:tcMar>
              <w:top w:type="dxa" w:w="80"/>
              <w:left w:type="dxa" w:w="120"/>
              <w:bottom w:type="dxa" w:w="80"/>
              <w:right w:type="dxa" w:w="120"/>
            </w:tcMar>
          </w:tcPr>
          <w:p>
            <w:pPr>
              <w:spacing w:after="20" w:before="20" w:line="252"/>
              <w:jc w:val="left"/>
            </w:pPr>
            <w:r>
              <w:rPr>
                <w:rFonts w:ascii="Helvetica Neue" w:cs="Helvetica Neue" w:eastAsia="Helvetica Neue" w:hAnsi="Helvetica Neue"/>
                <w:b w:val="false"/>
                <w:bCs w:val="false"/>
                <w:color w:val="333333"/>
                <w:sz w:val="20"/>
                <w:szCs w:val="20"/>
              </w:rPr>
              <w:t xml:space="preserve">0.60</w:t>
            </w:r>
          </w:p>
        </w:tc>
      </w:tr>
      <w:tr>
        <w:tc>
          <w:tcPr>
            <w:tcW w:type="dxa" w:w="1850"/>
            <w:tcBorders>
              <w:top w:val="none" w:color="FFFFFF" w:sz="0"/>
              <w:left w:val="none" w:color="FFFFFF" w:sz="0"/>
              <w:bottom w:val="single" w:color="CCCCCC" w:sz="1"/>
              <w:right w:val="none" w:color="FFFFFF" w:sz="0"/>
            </w:tcBorders>
            <w:tcMar>
              <w:top w:type="dxa" w:w="80"/>
              <w:left w:type="dxa" w:w="120"/>
              <w:bottom w:type="dxa" w:w="80"/>
              <w:right w:type="dxa" w:w="120"/>
            </w:tcMar>
          </w:tcPr>
          <w:p>
            <w:pPr>
              <w:spacing w:after="20" w:before="20" w:line="252"/>
              <w:jc w:val="left"/>
            </w:pPr>
            <w:r>
              <w:rPr>
                <w:rFonts w:ascii="Helvetica Neue" w:cs="Helvetica Neue" w:eastAsia="Helvetica Neue" w:hAnsi="Helvetica Neue"/>
                <w:b w:val="false"/>
                <w:bCs w:val="false"/>
                <w:color w:val="333333"/>
                <w:sz w:val="20"/>
                <w:szCs w:val="20"/>
              </w:rPr>
              <w:t xml:space="preserve">R12 metadata_anomaly</w:t>
            </w:r>
          </w:p>
        </w:tc>
        <w:tc>
          <w:tcPr>
            <w:tcW w:type="dxa" w:w="5990"/>
            <w:tcBorders>
              <w:top w:val="none" w:color="FFFFFF" w:sz="0"/>
              <w:left w:val="none" w:color="FFFFFF" w:sz="0"/>
              <w:bottom w:val="single" w:color="CCCCCC" w:sz="1"/>
              <w:right w:val="none" w:color="FFFFFF" w:sz="0"/>
            </w:tcBorders>
            <w:tcMar>
              <w:top w:type="dxa" w:w="80"/>
              <w:left w:type="dxa" w:w="120"/>
              <w:bottom w:type="dxa" w:w="80"/>
              <w:right w:type="dxa" w:w="120"/>
            </w:tcMar>
          </w:tcPr>
          <w:p>
            <w:pPr>
              <w:spacing w:after="20" w:before="20" w:line="252"/>
              <w:jc w:val="left"/>
            </w:pPr>
            <w:r>
              <w:rPr>
                <w:rFonts w:ascii="Helvetica Neue" w:cs="Helvetica Neue" w:eastAsia="Helvetica Neue" w:hAnsi="Helvetica Neue"/>
                <w:b w:val="false"/>
                <w:bCs w:val="false"/>
                <w:color w:val="333333"/>
                <w:sz w:val="20"/>
                <w:szCs w:val="20"/>
              </w:rPr>
              <w:t xml:space="preserve">A metadata field carrying an instruction: a phrase-rule hit inside a title, author or alt-text field, or a metadata field far longer than such fields normally run.</w:t>
            </w:r>
          </w:p>
        </w:tc>
        <w:tc>
          <w:tcPr>
            <w:tcW w:type="dxa" w:w="800"/>
            <w:tcBorders>
              <w:top w:val="none" w:color="FFFFFF" w:sz="0"/>
              <w:left w:val="none" w:color="FFFFFF" w:sz="0"/>
              <w:bottom w:val="single" w:color="CCCCCC" w:sz="1"/>
              <w:right w:val="none" w:color="FFFFFF" w:sz="0"/>
            </w:tcBorders>
            <w:tcMar>
              <w:top w:type="dxa" w:w="80"/>
              <w:left w:type="dxa" w:w="120"/>
              <w:bottom w:type="dxa" w:w="80"/>
              <w:right w:type="dxa" w:w="120"/>
            </w:tcMar>
          </w:tcPr>
          <w:p>
            <w:pPr>
              <w:spacing w:after="20" w:before="20" w:line="252"/>
              <w:jc w:val="left"/>
            </w:pPr>
            <w:r>
              <w:rPr>
                <w:rFonts w:ascii="Helvetica Neue" w:cs="Helvetica Neue" w:eastAsia="Helvetica Neue" w:hAnsi="Helvetica Neue"/>
                <w:b w:val="false"/>
                <w:bCs w:val="false"/>
                <w:color w:val="333333"/>
                <w:sz w:val="20"/>
                <w:szCs w:val="20"/>
              </w:rPr>
              <w:t xml:space="preserve">0.55</w:t>
            </w:r>
          </w:p>
        </w:tc>
      </w:tr>
      <w:tr>
        <w:tc>
          <w:tcPr>
            <w:tcW w:type="dxa" w:w="1850"/>
            <w:tcBorders>
              <w:top w:val="none" w:color="FFFFFF" w:sz="0"/>
              <w:left w:val="none" w:color="FFFFFF" w:sz="0"/>
              <w:bottom w:val="none" w:color="FFFFFF" w:sz="0"/>
              <w:right w:val="none" w:color="FFFFFF" w:sz="0"/>
            </w:tcBorders>
            <w:tcMar>
              <w:top w:type="dxa" w:w="80"/>
              <w:left w:type="dxa" w:w="120"/>
              <w:bottom w:type="dxa" w:w="80"/>
              <w:right w:type="dxa" w:w="120"/>
            </w:tcMar>
          </w:tcPr>
          <w:p>
            <w:pPr>
              <w:spacing w:after="20" w:before="20" w:line="252"/>
              <w:jc w:val="left"/>
            </w:pPr>
            <w:r>
              <w:rPr>
                <w:rFonts w:ascii="Helvetica Neue" w:cs="Helvetica Neue" w:eastAsia="Helvetica Neue" w:hAnsi="Helvetica Neue"/>
                <w:b w:val="false"/>
                <w:bCs w:val="false"/>
                <w:color w:val="333333"/>
                <w:sz w:val="20"/>
                <w:szCs w:val="20"/>
              </w:rPr>
              <w:t xml:space="preserve">R13 caps_directive</w:t>
            </w:r>
          </w:p>
        </w:tc>
        <w:tc>
          <w:tcPr>
            <w:tcW w:type="dxa" w:w="5990"/>
            <w:tcBorders>
              <w:top w:val="none" w:color="FFFFFF" w:sz="0"/>
              <w:left w:val="none" w:color="FFFFFF" w:sz="0"/>
              <w:bottom w:val="none" w:color="FFFFFF" w:sz="0"/>
              <w:right w:val="none" w:color="FFFFFF" w:sz="0"/>
            </w:tcBorders>
            <w:tcMar>
              <w:top w:type="dxa" w:w="80"/>
              <w:left w:type="dxa" w:w="120"/>
              <w:bottom w:type="dxa" w:w="80"/>
              <w:right w:type="dxa" w:w="120"/>
            </w:tcMar>
          </w:tcPr>
          <w:p>
            <w:pPr>
              <w:spacing w:after="20" w:before="20" w:line="252"/>
              <w:jc w:val="left"/>
            </w:pPr>
            <w:r>
              <w:rPr>
                <w:rFonts w:ascii="Helvetica Neue" w:cs="Helvetica Neue" w:eastAsia="Helvetica Neue" w:hAnsi="Helvetica Neue"/>
                <w:b w:val="false"/>
                <w:bCs w:val="false"/>
                <w:color w:val="333333"/>
                <w:sz w:val="20"/>
                <w:szCs w:val="20"/>
              </w:rPr>
              <w:t xml:space="preserve">An all-capitals run of two or more words used as a directive header, such as SYSTEM NOTICE or IMPORTANT followed by a colon or dash. Low weight: legitimate documents shout occasionally.</w:t>
            </w:r>
          </w:p>
        </w:tc>
        <w:tc>
          <w:tcPr>
            <w:tcW w:type="dxa" w:w="800"/>
            <w:tcBorders>
              <w:top w:val="none" w:color="FFFFFF" w:sz="0"/>
              <w:left w:val="none" w:color="FFFFFF" w:sz="0"/>
              <w:bottom w:val="none" w:color="FFFFFF" w:sz="0"/>
              <w:right w:val="none" w:color="FFFFFF" w:sz="0"/>
            </w:tcBorders>
            <w:tcMar>
              <w:top w:type="dxa" w:w="80"/>
              <w:left w:type="dxa" w:w="120"/>
              <w:bottom w:type="dxa" w:w="80"/>
              <w:right w:type="dxa" w:w="120"/>
            </w:tcMar>
          </w:tcPr>
          <w:p>
            <w:pPr>
              <w:spacing w:after="20" w:before="20" w:line="252"/>
              <w:jc w:val="left"/>
            </w:pPr>
            <w:r>
              <w:rPr>
                <w:rFonts w:ascii="Helvetica Neue" w:cs="Helvetica Neue" w:eastAsia="Helvetica Neue" w:hAnsi="Helvetica Neue"/>
                <w:b w:val="false"/>
                <w:bCs w:val="false"/>
                <w:color w:val="333333"/>
                <w:sz w:val="20"/>
                <w:szCs w:val="20"/>
              </w:rPr>
              <w:t xml:space="preserve">0.25</w:t>
            </w:r>
          </w:p>
        </w:tc>
      </w:tr>
    </w:tbl>
    <w:p>
      <w:pPr>
        <w:pStyle w:val="Heading1"/>
        <w:spacing w:after="120" w:before="360" w:line="240"/>
        <w:jc w:val="left"/>
      </w:pPr>
      <w:r>
        <w:rPr>
          <w:rFonts w:ascii="Helvetica Neue" w:cs="Helvetica Neue" w:eastAsia="Helvetica Neue" w:hAnsi="Helvetica Neue"/>
          <w:b/>
          <w:bCs/>
          <w:color w:val="000000"/>
          <w:sz w:val="36"/>
          <w:szCs w:val="36"/>
        </w:rPr>
        <w:t xml:space="preserve">5. Combining hits into a score</w:t>
      </w:r>
    </w:p>
    <w:p>
      <w:pPr>
        <w:spacing w:after="120" w:before="120" w:line="276"/>
        <w:jc w:val="both"/>
      </w:pPr>
      <w:r>
        <w:rPr>
          <w:rFonts w:ascii="Helvetica Neue" w:cs="Helvetica Neue" w:eastAsia="Helvetica Neue" w:hAnsi="Helvetica Neue"/>
          <w:i w:val="false"/>
          <w:iCs w:val="false"/>
          <w:color w:val="333333"/>
          <w:sz w:val="22"/>
          <w:szCs w:val="22"/>
        </w:rPr>
        <w:t xml:space="preserve">Hits combine by noisy-OR: the score is one minus the product of one minus each hit's weight. Each hit is treated as an independent piece of evidence, several weak hits accumulate into a meaningful score, a single strong hit dominates on its own, and the result cannot leave the zero-to-one range. It is also straightforward to justify in writing, which matters for a component the thesis has to explain.</w:t>
      </w:r>
    </w:p>
    <w:p>
      <w:pPr>
        <w:spacing w:after="120" w:before="120" w:line="276"/>
        <w:jc w:val="both"/>
      </w:pPr>
      <w:r>
        <w:rPr>
          <w:rFonts w:ascii="Helvetica Neue" w:cs="Helvetica Neue" w:eastAsia="Helvetica Neue" w:hAnsi="Helvetica Neue"/>
          <w:i w:val="false"/>
          <w:iCs w:val="false"/>
          <w:color w:val="333333"/>
          <w:sz w:val="22"/>
          <w:szCs w:val="22"/>
        </w:rPr>
        <w:t xml:space="preserve">Three adjustments apply before combination.</w:t>
      </w:r>
    </w:p>
    <w:p>
      <w:pPr>
        <w:spacing w:after="60" w:before="0"/>
      </w:pPr>
    </w:p>
    <w:tbl>
      <w:tblPr>
        <w:tblW w:type="dxa" w:w="8640"/>
        <w:tblBorders>
          <w:top w:val="none" w:color="FFFFFF" w:sz="0"/>
          <w:left w:val="none" w:color="FFFFFF" w:sz="0"/>
          <w:bottom w:val="none" w:color="FFFFFF" w:sz="0"/>
          <w:right w:val="none" w:color="FFFFFF" w:sz="0"/>
          <w:insideH w:val="single" w:color="CCCCCC" w:sz="1"/>
          <w:insideV w:val="none" w:color="FFFFFF" w:sz="0"/>
        </w:tblBorders>
      </w:tblPr>
      <w:tblGrid>
        <w:gridCol w:w="2100"/>
        <w:gridCol w:w="2500"/>
        <w:gridCol w:w="4040"/>
      </w:tblGrid>
      <w:tr>
        <w:trPr>
          <w:tblHeader/>
        </w:trPr>
        <w:tc>
          <w:tcPr>
            <w:tcW w:type="dxa" w:w="2100"/>
            <w:tcBorders>
              <w:top w:val="none" w:color="FFFFFF" w:sz="0"/>
              <w:left w:val="none" w:color="FFFFFF" w:sz="0"/>
              <w:bottom w:val="single" w:color="999999" w:sz="4"/>
              <w:right w:val="none" w:color="FFFFFF" w:sz="0"/>
            </w:tcBorders>
            <w:tcMar>
              <w:top w:type="dxa" w:w="80"/>
              <w:left w:type="dxa" w:w="120"/>
              <w:bottom w:type="dxa" w:w="80"/>
              <w:right w:type="dxa" w:w="120"/>
            </w:tcMar>
          </w:tcPr>
          <w:p>
            <w:pPr>
              <w:spacing w:after="20" w:before="20" w:line="252"/>
              <w:jc w:val="left"/>
            </w:pPr>
            <w:r>
              <w:rPr>
                <w:rFonts w:ascii="Helvetica Neue" w:cs="Helvetica Neue" w:eastAsia="Helvetica Neue" w:hAnsi="Helvetica Neue"/>
                <w:b/>
                <w:bCs/>
                <w:color w:val="333333"/>
                <w:sz w:val="20"/>
                <w:szCs w:val="20"/>
              </w:rPr>
              <w:t xml:space="preserve">Adjustment</w:t>
            </w:r>
          </w:p>
        </w:tc>
        <w:tc>
          <w:tcPr>
            <w:tcW w:type="dxa" w:w="2500"/>
            <w:tcBorders>
              <w:top w:val="none" w:color="FFFFFF" w:sz="0"/>
              <w:left w:val="none" w:color="FFFFFF" w:sz="0"/>
              <w:bottom w:val="single" w:color="999999" w:sz="4"/>
              <w:right w:val="none" w:color="FFFFFF" w:sz="0"/>
            </w:tcBorders>
            <w:tcMar>
              <w:top w:type="dxa" w:w="80"/>
              <w:left w:type="dxa" w:w="120"/>
              <w:bottom w:type="dxa" w:w="80"/>
              <w:right w:type="dxa" w:w="120"/>
            </w:tcMar>
          </w:tcPr>
          <w:p>
            <w:pPr>
              <w:spacing w:after="20" w:before="20" w:line="252"/>
              <w:jc w:val="left"/>
            </w:pPr>
            <w:r>
              <w:rPr>
                <w:rFonts w:ascii="Helvetica Neue" w:cs="Helvetica Neue" w:eastAsia="Helvetica Neue" w:hAnsi="Helvetica Neue"/>
                <w:b/>
                <w:bCs/>
                <w:color w:val="333333"/>
                <w:sz w:val="20"/>
                <w:szCs w:val="20"/>
              </w:rPr>
              <w:t xml:space="preserve">Effect</w:t>
            </w:r>
          </w:p>
        </w:tc>
        <w:tc>
          <w:tcPr>
            <w:tcW w:type="dxa" w:w="4040"/>
            <w:tcBorders>
              <w:top w:val="none" w:color="FFFFFF" w:sz="0"/>
              <w:left w:val="none" w:color="FFFFFF" w:sz="0"/>
              <w:bottom w:val="single" w:color="999999" w:sz="4"/>
              <w:right w:val="none" w:color="FFFFFF" w:sz="0"/>
            </w:tcBorders>
            <w:tcMar>
              <w:top w:type="dxa" w:w="80"/>
              <w:left w:type="dxa" w:w="120"/>
              <w:bottom w:type="dxa" w:w="80"/>
              <w:right w:type="dxa" w:w="120"/>
            </w:tcMar>
          </w:tcPr>
          <w:p>
            <w:pPr>
              <w:spacing w:after="20" w:before="20" w:line="252"/>
              <w:jc w:val="left"/>
            </w:pPr>
            <w:r>
              <w:rPr>
                <w:rFonts w:ascii="Helvetica Neue" w:cs="Helvetica Neue" w:eastAsia="Helvetica Neue" w:hAnsi="Helvetica Neue"/>
                <w:b/>
                <w:bCs/>
                <w:color w:val="333333"/>
                <w:sz w:val="20"/>
                <w:szCs w:val="20"/>
              </w:rPr>
              <w:t xml:space="preserve">Why</w:t>
            </w:r>
          </w:p>
        </w:tc>
      </w:tr>
      <w:tr>
        <w:tc>
          <w:tcPr>
            <w:tcW w:type="dxa" w:w="2100"/>
            <w:tcBorders>
              <w:top w:val="none" w:color="FFFFFF" w:sz="0"/>
              <w:left w:val="none" w:color="FFFFFF" w:sz="0"/>
              <w:bottom w:val="single" w:color="CCCCCC" w:sz="1"/>
              <w:right w:val="none" w:color="FFFFFF" w:sz="0"/>
            </w:tcBorders>
            <w:tcMar>
              <w:top w:type="dxa" w:w="80"/>
              <w:left w:type="dxa" w:w="120"/>
              <w:bottom w:type="dxa" w:w="80"/>
              <w:right w:type="dxa" w:w="120"/>
            </w:tcMar>
          </w:tcPr>
          <w:p>
            <w:pPr>
              <w:spacing w:after="20" w:before="20" w:line="252"/>
              <w:jc w:val="left"/>
            </w:pPr>
            <w:r>
              <w:rPr>
                <w:rFonts w:ascii="Helvetica Neue" w:cs="Helvetica Neue" w:eastAsia="Helvetica Neue" w:hAnsi="Helvetica Neue"/>
                <w:b w:val="false"/>
                <w:bCs w:val="false"/>
                <w:color w:val="333333"/>
                <w:sz w:val="20"/>
                <w:szCs w:val="20"/>
              </w:rPr>
              <w:t xml:space="preserve">Per-rule hit cap</w:t>
            </w:r>
          </w:p>
        </w:tc>
        <w:tc>
          <w:tcPr>
            <w:tcW w:type="dxa" w:w="2500"/>
            <w:tcBorders>
              <w:top w:val="none" w:color="FFFFFF" w:sz="0"/>
              <w:left w:val="none" w:color="FFFFFF" w:sz="0"/>
              <w:bottom w:val="single" w:color="CCCCCC" w:sz="1"/>
              <w:right w:val="none" w:color="FFFFFF" w:sz="0"/>
            </w:tcBorders>
            <w:tcMar>
              <w:top w:type="dxa" w:w="80"/>
              <w:left w:type="dxa" w:w="120"/>
              <w:bottom w:type="dxa" w:w="80"/>
              <w:right w:type="dxa" w:w="120"/>
            </w:tcMar>
          </w:tcPr>
          <w:p>
            <w:pPr>
              <w:spacing w:after="20" w:before="20" w:line="252"/>
              <w:jc w:val="left"/>
            </w:pPr>
            <w:r>
              <w:rPr>
                <w:rFonts w:ascii="Helvetica Neue" w:cs="Helvetica Neue" w:eastAsia="Helvetica Neue" w:hAnsi="Helvetica Neue"/>
                <w:b w:val="false"/>
                <w:bCs w:val="false"/>
                <w:color w:val="333333"/>
                <w:sz w:val="20"/>
                <w:szCs w:val="20"/>
              </w:rPr>
              <w:t xml:space="preserve">At most three hits from any one rule contribute.</w:t>
            </w:r>
          </w:p>
        </w:tc>
        <w:tc>
          <w:tcPr>
            <w:tcW w:type="dxa" w:w="4040"/>
            <w:tcBorders>
              <w:top w:val="none" w:color="FFFFFF" w:sz="0"/>
              <w:left w:val="none" w:color="FFFFFF" w:sz="0"/>
              <w:bottom w:val="single" w:color="CCCCCC" w:sz="1"/>
              <w:right w:val="none" w:color="FFFFFF" w:sz="0"/>
            </w:tcBorders>
            <w:tcMar>
              <w:top w:type="dxa" w:w="80"/>
              <w:left w:type="dxa" w:w="120"/>
              <w:bottom w:type="dxa" w:w="80"/>
              <w:right w:type="dxa" w:w="120"/>
            </w:tcMar>
          </w:tcPr>
          <w:p>
            <w:pPr>
              <w:spacing w:after="20" w:before="20" w:line="252"/>
              <w:jc w:val="left"/>
            </w:pPr>
            <w:r>
              <w:rPr>
                <w:rFonts w:ascii="Helvetica Neue" w:cs="Helvetica Neue" w:eastAsia="Helvetica Neue" w:hAnsi="Helvetica Neue"/>
                <w:b w:val="false"/>
                <w:bCs w:val="false"/>
                <w:color w:val="333333"/>
                <w:sz w:val="20"/>
                <w:szCs w:val="20"/>
              </w:rPr>
              <w:t xml:space="preserve">Without it a single lenient rule firing repeatedly saturates the score on its own, which would make the other twelve rules irrelevant to the outcome.</w:t>
            </w:r>
          </w:p>
        </w:tc>
      </w:tr>
      <w:tr>
        <w:tc>
          <w:tcPr>
            <w:tcW w:type="dxa" w:w="2100"/>
            <w:tcBorders>
              <w:top w:val="none" w:color="FFFFFF" w:sz="0"/>
              <w:left w:val="none" w:color="FFFFFF" w:sz="0"/>
              <w:bottom w:val="single" w:color="CCCCCC" w:sz="1"/>
              <w:right w:val="none" w:color="FFFFFF" w:sz="0"/>
            </w:tcBorders>
            <w:tcMar>
              <w:top w:type="dxa" w:w="80"/>
              <w:left w:type="dxa" w:w="120"/>
              <w:bottom w:type="dxa" w:w="80"/>
              <w:right w:type="dxa" w:w="120"/>
            </w:tcMar>
          </w:tcPr>
          <w:p>
            <w:pPr>
              <w:spacing w:after="20" w:before="20" w:line="252"/>
              <w:jc w:val="left"/>
            </w:pPr>
            <w:r>
              <w:rPr>
                <w:rFonts w:ascii="Helvetica Neue" w:cs="Helvetica Neue" w:eastAsia="Helvetica Neue" w:hAnsi="Helvetica Neue"/>
                <w:b w:val="false"/>
                <w:bCs w:val="false"/>
                <w:color w:val="333333"/>
                <w:sz w:val="20"/>
                <w:szCs w:val="20"/>
              </w:rPr>
              <w:t xml:space="preserve">Metadata location weighting</w:t>
            </w:r>
          </w:p>
        </w:tc>
        <w:tc>
          <w:tcPr>
            <w:tcW w:type="dxa" w:w="2500"/>
            <w:tcBorders>
              <w:top w:val="none" w:color="FFFFFF" w:sz="0"/>
              <w:left w:val="none" w:color="FFFFFF" w:sz="0"/>
              <w:bottom w:val="single" w:color="CCCCCC" w:sz="1"/>
              <w:right w:val="none" w:color="FFFFFF" w:sz="0"/>
            </w:tcBorders>
            <w:tcMar>
              <w:top w:type="dxa" w:w="80"/>
              <w:left w:type="dxa" w:w="120"/>
              <w:bottom w:type="dxa" w:w="80"/>
              <w:right w:type="dxa" w:w="120"/>
            </w:tcMar>
          </w:tcPr>
          <w:p>
            <w:pPr>
              <w:spacing w:after="20" w:before="20" w:line="252"/>
              <w:jc w:val="left"/>
            </w:pPr>
            <w:r>
              <w:rPr>
                <w:rFonts w:ascii="Helvetica Neue" w:cs="Helvetica Neue" w:eastAsia="Helvetica Neue" w:hAnsi="Helvetica Neue"/>
                <w:b w:val="false"/>
                <w:bCs w:val="false"/>
                <w:color w:val="333333"/>
                <w:sz w:val="20"/>
                <w:szCs w:val="20"/>
              </w:rPr>
              <w:t xml:space="preserve">A hit inside a metadata field is weighted upward.</w:t>
            </w:r>
          </w:p>
        </w:tc>
        <w:tc>
          <w:tcPr>
            <w:tcW w:type="dxa" w:w="4040"/>
            <w:tcBorders>
              <w:top w:val="none" w:color="FFFFFF" w:sz="0"/>
              <w:left w:val="none" w:color="FFFFFF" w:sz="0"/>
              <w:bottom w:val="single" w:color="CCCCCC" w:sz="1"/>
              <w:right w:val="none" w:color="FFFFFF" w:sz="0"/>
            </w:tcBorders>
            <w:tcMar>
              <w:top w:type="dxa" w:w="80"/>
              <w:left w:type="dxa" w:w="120"/>
              <w:bottom w:type="dxa" w:w="80"/>
              <w:right w:type="dxa" w:w="120"/>
            </w:tcMar>
          </w:tcPr>
          <w:p>
            <w:pPr>
              <w:spacing w:after="20" w:before="20" w:line="252"/>
              <w:jc w:val="left"/>
            </w:pPr>
            <w:r>
              <w:rPr>
                <w:rFonts w:ascii="Helvetica Neue" w:cs="Helvetica Neue" w:eastAsia="Helvetica Neue" w:hAnsi="Helvetica Neue"/>
                <w:b w:val="false"/>
                <w:bCs w:val="false"/>
                <w:color w:val="333333"/>
                <w:sz w:val="20"/>
                <w:szCs w:val="20"/>
              </w:rPr>
              <w:t xml:space="preserve">A title is a short descriptive field. An instruction-override phrase occupying part of one is far more anomalous than the same phrase somewhere in two hundred words of body text, and the score should say so.</w:t>
            </w:r>
          </w:p>
        </w:tc>
      </w:tr>
      <w:tr>
        <w:tc>
          <w:tcPr>
            <w:tcW w:type="dxa" w:w="2100"/>
            <w:tcBorders>
              <w:top w:val="none" w:color="FFFFFF" w:sz="0"/>
              <w:left w:val="none" w:color="FFFFFF" w:sz="0"/>
              <w:bottom w:val="none" w:color="FFFFFF" w:sz="0"/>
              <w:right w:val="none" w:color="FFFFFF" w:sz="0"/>
            </w:tcBorders>
            <w:tcMar>
              <w:top w:type="dxa" w:w="80"/>
              <w:left w:type="dxa" w:w="120"/>
              <w:bottom w:type="dxa" w:w="80"/>
              <w:right w:type="dxa" w:w="120"/>
            </w:tcMar>
          </w:tcPr>
          <w:p>
            <w:pPr>
              <w:spacing w:after="20" w:before="20" w:line="252"/>
              <w:jc w:val="left"/>
            </w:pPr>
            <w:r>
              <w:rPr>
                <w:rFonts w:ascii="Helvetica Neue" w:cs="Helvetica Neue" w:eastAsia="Helvetica Neue" w:hAnsi="Helvetica Neue"/>
                <w:b w:val="false"/>
                <w:bCs w:val="false"/>
                <w:color w:val="333333"/>
                <w:sz w:val="20"/>
                <w:szCs w:val="20"/>
              </w:rPr>
              <w:t xml:space="preserve">Quotation discount</w:t>
            </w:r>
          </w:p>
        </w:tc>
        <w:tc>
          <w:tcPr>
            <w:tcW w:type="dxa" w:w="2500"/>
            <w:tcBorders>
              <w:top w:val="none" w:color="FFFFFF" w:sz="0"/>
              <w:left w:val="none" w:color="FFFFFF" w:sz="0"/>
              <w:bottom w:val="none" w:color="FFFFFF" w:sz="0"/>
              <w:right w:val="none" w:color="FFFFFF" w:sz="0"/>
            </w:tcBorders>
            <w:tcMar>
              <w:top w:type="dxa" w:w="80"/>
              <w:left w:type="dxa" w:w="120"/>
              <w:bottom w:type="dxa" w:w="80"/>
              <w:right w:type="dxa" w:w="120"/>
            </w:tcMar>
          </w:tcPr>
          <w:p>
            <w:pPr>
              <w:spacing w:after="20" w:before="20" w:line="252"/>
              <w:jc w:val="left"/>
            </w:pPr>
            <w:r>
              <w:rPr>
                <w:rFonts w:ascii="Helvetica Neue" w:cs="Helvetica Neue" w:eastAsia="Helvetica Neue" w:hAnsi="Helvetica Neue"/>
                <w:b w:val="false"/>
                <w:bCs w:val="false"/>
                <w:color w:val="333333"/>
                <w:sz w:val="20"/>
                <w:szCs w:val="20"/>
              </w:rPr>
              <w:t xml:space="preserve">A hit falling inside quotation marks is weighted down.</w:t>
            </w:r>
          </w:p>
        </w:tc>
        <w:tc>
          <w:tcPr>
            <w:tcW w:type="dxa" w:w="4040"/>
            <w:tcBorders>
              <w:top w:val="none" w:color="FFFFFF" w:sz="0"/>
              <w:left w:val="none" w:color="FFFFFF" w:sz="0"/>
              <w:bottom w:val="none" w:color="FFFFFF" w:sz="0"/>
              <w:right w:val="none" w:color="FFFFFF" w:sz="0"/>
            </w:tcBorders>
            <w:tcMar>
              <w:top w:type="dxa" w:w="80"/>
              <w:left w:type="dxa" w:w="120"/>
              <w:bottom w:type="dxa" w:w="80"/>
              <w:right w:type="dxa" w:w="120"/>
            </w:tcMar>
          </w:tcPr>
          <w:p>
            <w:pPr>
              <w:spacing w:after="20" w:before="20" w:line="252"/>
              <w:jc w:val="left"/>
            </w:pPr>
            <w:r>
              <w:rPr>
                <w:rFonts w:ascii="Helvetica Neue" w:cs="Helvetica Neue" w:eastAsia="Helvetica Neue" w:hAnsi="Helvetica Neue"/>
                <w:b w:val="false"/>
                <w:bCs w:val="false"/>
                <w:color w:val="333333"/>
                <w:sz w:val="20"/>
                <w:szCs w:val="20"/>
              </w:rPr>
              <w:t xml:space="preserve">The benign corpus contains security training material that quotes attack strings as examples, and that is the single largest expected source of false positives. An attacker has little reason to quote their own payload; a document explaining the attack has every reason to quote it.</w:t>
            </w:r>
          </w:p>
        </w:tc>
      </w:tr>
    </w:tbl>
    <w:p>
      <w:pPr>
        <w:spacing w:after="120" w:before="120" w:line="276"/>
        <w:jc w:val="both"/>
      </w:pPr>
      <w:r>
        <w:rPr>
          <w:rFonts w:ascii="Helvetica Neue" w:cs="Helvetica Neue" w:eastAsia="Helvetica Neue" w:hAnsi="Helvetica Neue"/>
          <w:i w:val="false"/>
          <w:iCs w:val="false"/>
          <w:color w:val="333333"/>
          <w:sz w:val="22"/>
          <w:szCs w:val="22"/>
        </w:rPr>
        <w:t xml:space="preserve">Every hit is retained with its rule identifier, its weight, where it matched and which normalisation variant found it. That detail populates the stage_1 object in the scan response, and it is what makes a false positive diagnosable rather than merely disappointing.</w:t>
      </w:r>
    </w:p>
    <w:p>
      <w:pPr>
        <w:pStyle w:val="Heading1"/>
        <w:spacing w:after="120" w:before="360" w:line="240"/>
        <w:jc w:val="left"/>
      </w:pPr>
      <w:r>
        <w:rPr>
          <w:rFonts w:ascii="Helvetica Neue" w:cs="Helvetica Neue" w:eastAsia="Helvetica Neue" w:hAnsi="Helvetica Neue"/>
          <w:b/>
          <w:bCs/>
          <w:color w:val="000000"/>
          <w:sz w:val="36"/>
          <w:szCs w:val="36"/>
        </w:rPr>
        <w:t xml:space="preserve">6. Choosing the threshold</w:t>
      </w:r>
    </w:p>
    <w:p>
      <w:pPr>
        <w:spacing w:after="120" w:before="120" w:line="276"/>
        <w:jc w:val="both"/>
      </w:pPr>
      <w:r>
        <w:rPr>
          <w:rFonts w:ascii="Helvetica Neue" w:cs="Helvetica Neue" w:eastAsia="Helvetica Neue" w:hAnsi="Helvetica Neue"/>
          <w:i w:val="false"/>
          <w:iCs w:val="false"/>
          <w:color w:val="333333"/>
          <w:sz w:val="22"/>
          <w:szCs w:val="22"/>
        </w:rPr>
        <w:t xml:space="preserve">The threshold is swept across the range and chosen on the training split alone. The validation split is reserved for Stage 2's checkpoint selection and the test split is not touched by any decision. Choosing a threshold on test data is the same methodological error as reporting validation metrics as a result: it borrows information from the set the number is supposed to be measured on, and it is the more tempting error here because the sweep is quick and the test set is right there.</w:t>
      </w:r>
    </w:p>
    <w:p>
      <w:pPr>
        <w:spacing w:after="120" w:before="120" w:line="276"/>
        <w:jc w:val="both"/>
      </w:pPr>
      <w:r>
        <w:rPr>
          <w:rFonts w:ascii="Helvetica Neue" w:cs="Helvetica Neue" w:eastAsia="Helvetica Neue" w:hAnsi="Helvetica Neue"/>
          <w:i w:val="false"/>
          <w:iCs w:val="false"/>
          <w:color w:val="333333"/>
          <w:sz w:val="22"/>
          <w:szCs w:val="22"/>
        </w:rPr>
        <w:t xml:space="preserve">The chosen value is a named constant with the sweep that produced it reproducible from the repository, so the choice can be defended rather than merely stated. Two candidate criteria are reported: the threshold maximising F1, and the lowest threshold holding the false-positive rate under five per cent. Which is preferable depends on how an ingestion filter is meant to fail, and the evaluation chapter should argue the point rather than let the code settle it silently.</w:t>
      </w:r>
    </w:p>
    <w:p>
      <w:pPr>
        <w:pStyle w:val="Heading1"/>
        <w:spacing w:after="120" w:before="360" w:line="240"/>
        <w:jc w:val="left"/>
      </w:pPr>
      <w:r>
        <w:rPr>
          <w:rFonts w:ascii="Helvetica Neue" w:cs="Helvetica Neue" w:eastAsia="Helvetica Neue" w:hAnsi="Helvetica Neue"/>
          <w:b/>
          <w:bCs/>
          <w:color w:val="000000"/>
          <w:sz w:val="36"/>
          <w:szCs w:val="36"/>
        </w:rPr>
        <w:t xml:space="preserve">7. What the evaluation reports</w:t>
      </w:r>
    </w:p>
    <w:p>
      <w:pPr>
        <w:spacing w:after="60" w:before="0"/>
      </w:pPr>
    </w:p>
    <w:tbl>
      <w:tblPr>
        <w:tblW w:type="dxa" w:w="8640"/>
        <w:tblBorders>
          <w:top w:val="none" w:color="FFFFFF" w:sz="0"/>
          <w:left w:val="none" w:color="FFFFFF" w:sz="0"/>
          <w:bottom w:val="none" w:color="FFFFFF" w:sz="0"/>
          <w:right w:val="none" w:color="FFFFFF" w:sz="0"/>
          <w:insideH w:val="single" w:color="CCCCCC" w:sz="1"/>
          <w:insideV w:val="none" w:color="FFFFFF" w:sz="0"/>
        </w:tblBorders>
      </w:tblPr>
      <w:tblGrid>
        <w:gridCol w:w="3000"/>
        <w:gridCol w:w="5640"/>
      </w:tblGrid>
      <w:tr>
        <w:trPr>
          <w:tblHeader/>
        </w:trPr>
        <w:tc>
          <w:tcPr>
            <w:tcW w:type="dxa" w:w="3000"/>
            <w:tcBorders>
              <w:top w:val="none" w:color="FFFFFF" w:sz="0"/>
              <w:left w:val="none" w:color="FFFFFF" w:sz="0"/>
              <w:bottom w:val="single" w:color="999999" w:sz="4"/>
              <w:right w:val="none" w:color="FFFFFF" w:sz="0"/>
            </w:tcBorders>
            <w:tcMar>
              <w:top w:type="dxa" w:w="80"/>
              <w:left w:type="dxa" w:w="120"/>
              <w:bottom w:type="dxa" w:w="80"/>
              <w:right w:type="dxa" w:w="120"/>
            </w:tcMar>
          </w:tcPr>
          <w:p>
            <w:pPr>
              <w:spacing w:after="20" w:before="20" w:line="252"/>
              <w:jc w:val="left"/>
            </w:pPr>
            <w:r>
              <w:rPr>
                <w:rFonts w:ascii="Helvetica Neue" w:cs="Helvetica Neue" w:eastAsia="Helvetica Neue" w:hAnsi="Helvetica Neue"/>
                <w:b/>
                <w:bCs/>
                <w:color w:val="333333"/>
                <w:sz w:val="20"/>
                <w:szCs w:val="20"/>
              </w:rPr>
              <w:t xml:space="preserve">Output</w:t>
            </w:r>
          </w:p>
        </w:tc>
        <w:tc>
          <w:tcPr>
            <w:tcW w:type="dxa" w:w="5640"/>
            <w:tcBorders>
              <w:top w:val="none" w:color="FFFFFF" w:sz="0"/>
              <w:left w:val="none" w:color="FFFFFF" w:sz="0"/>
              <w:bottom w:val="single" w:color="999999" w:sz="4"/>
              <w:right w:val="none" w:color="FFFFFF" w:sz="0"/>
            </w:tcBorders>
            <w:tcMar>
              <w:top w:type="dxa" w:w="80"/>
              <w:left w:type="dxa" w:w="120"/>
              <w:bottom w:type="dxa" w:w="80"/>
              <w:right w:type="dxa" w:w="120"/>
            </w:tcMar>
          </w:tcPr>
          <w:p>
            <w:pPr>
              <w:spacing w:after="20" w:before="20" w:line="252"/>
              <w:jc w:val="left"/>
            </w:pPr>
            <w:r>
              <w:rPr>
                <w:rFonts w:ascii="Helvetica Neue" w:cs="Helvetica Neue" w:eastAsia="Helvetica Neue" w:hAnsi="Helvetica Neue"/>
                <w:b/>
                <w:bCs/>
                <w:color w:val="333333"/>
                <w:sz w:val="20"/>
                <w:szCs w:val="20"/>
              </w:rPr>
              <w:t xml:space="preserve">Why it is reported</w:t>
            </w:r>
          </w:p>
        </w:tc>
      </w:tr>
      <w:tr>
        <w:tc>
          <w:tcPr>
            <w:tcW w:type="dxa" w:w="3000"/>
            <w:tcBorders>
              <w:top w:val="none" w:color="FFFFFF" w:sz="0"/>
              <w:left w:val="none" w:color="FFFFFF" w:sz="0"/>
              <w:bottom w:val="single" w:color="CCCCCC" w:sz="1"/>
              <w:right w:val="none" w:color="FFFFFF" w:sz="0"/>
            </w:tcBorders>
            <w:tcMar>
              <w:top w:type="dxa" w:w="80"/>
              <w:left w:type="dxa" w:w="120"/>
              <w:bottom w:type="dxa" w:w="80"/>
              <w:right w:type="dxa" w:w="120"/>
            </w:tcMar>
          </w:tcPr>
          <w:p>
            <w:pPr>
              <w:spacing w:after="20" w:before="20" w:line="252"/>
              <w:jc w:val="left"/>
            </w:pPr>
            <w:r>
              <w:rPr>
                <w:rFonts w:ascii="Helvetica Neue" w:cs="Helvetica Neue" w:eastAsia="Helvetica Neue" w:hAnsi="Helvetica Neue"/>
                <w:b w:val="false"/>
                <w:bCs w:val="false"/>
                <w:color w:val="333333"/>
                <w:sz w:val="20"/>
                <w:szCs w:val="20"/>
              </w:rPr>
              <w:t xml:space="preserve">Confusion matrix per split</w:t>
            </w:r>
          </w:p>
        </w:tc>
        <w:tc>
          <w:tcPr>
            <w:tcW w:type="dxa" w:w="5640"/>
            <w:tcBorders>
              <w:top w:val="none" w:color="FFFFFF" w:sz="0"/>
              <w:left w:val="none" w:color="FFFFFF" w:sz="0"/>
              <w:bottom w:val="single" w:color="CCCCCC" w:sz="1"/>
              <w:right w:val="none" w:color="FFFFFF" w:sz="0"/>
            </w:tcBorders>
            <w:tcMar>
              <w:top w:type="dxa" w:w="80"/>
              <w:left w:type="dxa" w:w="120"/>
              <w:bottom w:type="dxa" w:w="80"/>
              <w:right w:type="dxa" w:w="120"/>
            </w:tcMar>
          </w:tcPr>
          <w:p>
            <w:pPr>
              <w:spacing w:after="20" w:before="20" w:line="252"/>
              <w:jc w:val="left"/>
            </w:pPr>
            <w:r>
              <w:rPr>
                <w:rFonts w:ascii="Helvetica Neue" w:cs="Helvetica Neue" w:eastAsia="Helvetica Neue" w:hAnsi="Helvetica Neue"/>
                <w:b w:val="false"/>
                <w:bCs w:val="false"/>
                <w:color w:val="333333"/>
                <w:sz w:val="20"/>
                <w:szCs w:val="20"/>
              </w:rPr>
              <w:t xml:space="preserve">The raw counts, so every derived figure can be checked.</w:t>
            </w:r>
          </w:p>
        </w:tc>
      </w:tr>
      <w:tr>
        <w:tc>
          <w:tcPr>
            <w:tcW w:type="dxa" w:w="3000"/>
            <w:tcBorders>
              <w:top w:val="none" w:color="FFFFFF" w:sz="0"/>
              <w:left w:val="none" w:color="FFFFFF" w:sz="0"/>
              <w:bottom w:val="single" w:color="CCCCCC" w:sz="1"/>
              <w:right w:val="none" w:color="FFFFFF" w:sz="0"/>
            </w:tcBorders>
            <w:tcMar>
              <w:top w:type="dxa" w:w="80"/>
              <w:left w:type="dxa" w:w="120"/>
              <w:bottom w:type="dxa" w:w="80"/>
              <w:right w:type="dxa" w:w="120"/>
            </w:tcMar>
          </w:tcPr>
          <w:p>
            <w:pPr>
              <w:spacing w:after="20" w:before="20" w:line="252"/>
              <w:jc w:val="left"/>
            </w:pPr>
            <w:r>
              <w:rPr>
                <w:rFonts w:ascii="Helvetica Neue" w:cs="Helvetica Neue" w:eastAsia="Helvetica Neue" w:hAnsi="Helvetica Neue"/>
                <w:b w:val="false"/>
                <w:bCs w:val="false"/>
                <w:color w:val="333333"/>
                <w:sz w:val="20"/>
                <w:szCs w:val="20"/>
              </w:rPr>
              <w:t xml:space="preserve">Precision, recall, F1, false-positive rate</w:t>
            </w:r>
          </w:p>
        </w:tc>
        <w:tc>
          <w:tcPr>
            <w:tcW w:type="dxa" w:w="5640"/>
            <w:tcBorders>
              <w:top w:val="none" w:color="FFFFFF" w:sz="0"/>
              <w:left w:val="none" w:color="FFFFFF" w:sz="0"/>
              <w:bottom w:val="single" w:color="CCCCCC" w:sz="1"/>
              <w:right w:val="none" w:color="FFFFFF" w:sz="0"/>
            </w:tcBorders>
            <w:tcMar>
              <w:top w:type="dxa" w:w="80"/>
              <w:left w:type="dxa" w:w="120"/>
              <w:bottom w:type="dxa" w:w="80"/>
              <w:right w:type="dxa" w:w="120"/>
            </w:tcMar>
          </w:tcPr>
          <w:p>
            <w:pPr>
              <w:spacing w:after="20" w:before="20" w:line="252"/>
              <w:jc w:val="left"/>
            </w:pPr>
            <w:r>
              <w:rPr>
                <w:rFonts w:ascii="Helvetica Neue" w:cs="Helvetica Neue" w:eastAsia="Helvetica Neue" w:hAnsi="Helvetica Neue"/>
                <w:b w:val="false"/>
                <w:bCs w:val="false"/>
                <w:color w:val="333333"/>
                <w:sz w:val="20"/>
                <w:szCs w:val="20"/>
              </w:rPr>
              <w:t xml:space="preserve">The four figures the project's fourth objective names.</w:t>
            </w:r>
          </w:p>
        </w:tc>
      </w:tr>
      <w:tr>
        <w:tc>
          <w:tcPr>
            <w:tcW w:type="dxa" w:w="3000"/>
            <w:tcBorders>
              <w:top w:val="none" w:color="FFFFFF" w:sz="0"/>
              <w:left w:val="none" w:color="FFFFFF" w:sz="0"/>
              <w:bottom w:val="single" w:color="CCCCCC" w:sz="1"/>
              <w:right w:val="none" w:color="FFFFFF" w:sz="0"/>
            </w:tcBorders>
            <w:tcMar>
              <w:top w:type="dxa" w:w="80"/>
              <w:left w:type="dxa" w:w="120"/>
              <w:bottom w:type="dxa" w:w="80"/>
              <w:right w:type="dxa" w:w="120"/>
            </w:tcMar>
          </w:tcPr>
          <w:p>
            <w:pPr>
              <w:spacing w:after="20" w:before="20" w:line="252"/>
              <w:jc w:val="left"/>
            </w:pPr>
            <w:r>
              <w:rPr>
                <w:rFonts w:ascii="Helvetica Neue" w:cs="Helvetica Neue" w:eastAsia="Helvetica Neue" w:hAnsi="Helvetica Neue"/>
                <w:b w:val="false"/>
                <w:bCs w:val="false"/>
                <w:color w:val="333333"/>
                <w:sz w:val="20"/>
                <w:szCs w:val="20"/>
              </w:rPr>
              <w:t xml:space="preserve">Recall by technique, as fractions</w:t>
            </w:r>
          </w:p>
        </w:tc>
        <w:tc>
          <w:tcPr>
            <w:tcW w:type="dxa" w:w="5640"/>
            <w:tcBorders>
              <w:top w:val="none" w:color="FFFFFF" w:sz="0"/>
              <w:left w:val="none" w:color="FFFFFF" w:sz="0"/>
              <w:bottom w:val="single" w:color="CCCCCC" w:sz="1"/>
              <w:right w:val="none" w:color="FFFFFF" w:sz="0"/>
            </w:tcBorders>
            <w:tcMar>
              <w:top w:type="dxa" w:w="80"/>
              <w:left w:type="dxa" w:w="120"/>
              <w:bottom w:type="dxa" w:w="80"/>
              <w:right w:type="dxa" w:w="120"/>
            </w:tcMar>
          </w:tcPr>
          <w:p>
            <w:pPr>
              <w:spacing w:after="20" w:before="20" w:line="252"/>
              <w:jc w:val="left"/>
            </w:pPr>
            <w:r>
              <w:rPr>
                <w:rFonts w:ascii="Helvetica Neue" w:cs="Helvetica Neue" w:eastAsia="Helvetica Neue" w:hAnsi="Helvetica Neue"/>
                <w:b w:val="false"/>
                <w:bCs w:val="false"/>
                <w:color w:val="333333"/>
                <w:sz w:val="20"/>
                <w:szCs w:val="20"/>
              </w:rPr>
              <w:t xml:space="preserve">At roughly ten test examples per technique a percentage implies precision the sample cannot support. Nine of ten is honest; ninety per cent is not.</w:t>
            </w:r>
          </w:p>
        </w:tc>
      </w:tr>
      <w:tr>
        <w:tc>
          <w:tcPr>
            <w:tcW w:type="dxa" w:w="3000"/>
            <w:tcBorders>
              <w:top w:val="none" w:color="FFFFFF" w:sz="0"/>
              <w:left w:val="none" w:color="FFFFFF" w:sz="0"/>
              <w:bottom w:val="single" w:color="CCCCCC" w:sz="1"/>
              <w:right w:val="none" w:color="FFFFFF" w:sz="0"/>
            </w:tcBorders>
            <w:tcMar>
              <w:top w:type="dxa" w:w="80"/>
              <w:left w:type="dxa" w:w="120"/>
              <w:bottom w:type="dxa" w:w="80"/>
              <w:right w:type="dxa" w:w="120"/>
            </w:tcMar>
          </w:tcPr>
          <w:p>
            <w:pPr>
              <w:spacing w:after="20" w:before="20" w:line="252"/>
              <w:jc w:val="left"/>
            </w:pPr>
            <w:r>
              <w:rPr>
                <w:rFonts w:ascii="Helvetica Neue" w:cs="Helvetica Neue" w:eastAsia="Helvetica Neue" w:hAnsi="Helvetica Neue"/>
                <w:b w:val="false"/>
                <w:bCs w:val="false"/>
                <w:color w:val="333333"/>
                <w:sz w:val="20"/>
                <w:szCs w:val="20"/>
              </w:rPr>
              <w:t xml:space="preserve">False positives by benign class</w:t>
            </w:r>
          </w:p>
        </w:tc>
        <w:tc>
          <w:tcPr>
            <w:tcW w:type="dxa" w:w="5640"/>
            <w:tcBorders>
              <w:top w:val="none" w:color="FFFFFF" w:sz="0"/>
              <w:left w:val="none" w:color="FFFFFF" w:sz="0"/>
              <w:bottom w:val="single" w:color="CCCCCC" w:sz="1"/>
              <w:right w:val="none" w:color="FFFFFF" w:sz="0"/>
            </w:tcBorders>
            <w:tcMar>
              <w:top w:type="dxa" w:w="80"/>
              <w:left w:type="dxa" w:w="120"/>
              <w:bottom w:type="dxa" w:w="80"/>
              <w:right w:type="dxa" w:w="120"/>
            </w:tcMar>
          </w:tcPr>
          <w:p>
            <w:pPr>
              <w:spacing w:after="20" w:before="20" w:line="252"/>
              <w:jc w:val="left"/>
            </w:pPr>
            <w:r>
              <w:rPr>
                <w:rFonts w:ascii="Helvetica Neue" w:cs="Helvetica Neue" w:eastAsia="Helvetica Neue" w:hAnsi="Helvetica Neue"/>
                <w:b w:val="false"/>
                <w:bCs w:val="false"/>
                <w:color w:val="333333"/>
                <w:sz w:val="20"/>
                <w:szCs w:val="20"/>
              </w:rPr>
              <w:t xml:space="preserve">Locates the cost. A false positive on security training material means something different from one on an ordinary runbook.</w:t>
            </w:r>
          </w:p>
        </w:tc>
      </w:tr>
      <w:tr>
        <w:tc>
          <w:tcPr>
            <w:tcW w:type="dxa" w:w="3000"/>
            <w:tcBorders>
              <w:top w:val="none" w:color="FFFFFF" w:sz="0"/>
              <w:left w:val="none" w:color="FFFFFF" w:sz="0"/>
              <w:bottom w:val="single" w:color="CCCCCC" w:sz="1"/>
              <w:right w:val="none" w:color="FFFFFF" w:sz="0"/>
            </w:tcBorders>
            <w:tcMar>
              <w:top w:type="dxa" w:w="80"/>
              <w:left w:type="dxa" w:w="120"/>
              <w:bottom w:type="dxa" w:w="80"/>
              <w:right w:type="dxa" w:w="120"/>
            </w:tcMar>
          </w:tcPr>
          <w:p>
            <w:pPr>
              <w:spacing w:after="20" w:before="20" w:line="252"/>
              <w:jc w:val="left"/>
            </w:pPr>
            <w:r>
              <w:rPr>
                <w:rFonts w:ascii="Helvetica Neue" w:cs="Helvetica Neue" w:eastAsia="Helvetica Neue" w:hAnsi="Helvetica Neue"/>
                <w:b w:val="false"/>
                <w:bCs w:val="false"/>
                <w:color w:val="333333"/>
                <w:sz w:val="20"/>
                <w:szCs w:val="20"/>
              </w:rPr>
              <w:t xml:space="preserve">Precision by score band</w:t>
            </w:r>
          </w:p>
        </w:tc>
        <w:tc>
          <w:tcPr>
            <w:tcW w:type="dxa" w:w="5640"/>
            <w:tcBorders>
              <w:top w:val="none" w:color="FFFFFF" w:sz="0"/>
              <w:left w:val="none" w:color="FFFFFF" w:sz="0"/>
              <w:bottom w:val="single" w:color="CCCCCC" w:sz="1"/>
              <w:right w:val="none" w:color="FFFFFF" w:sz="0"/>
            </w:tcBorders>
            <w:tcMar>
              <w:top w:type="dxa" w:w="80"/>
              <w:left w:type="dxa" w:w="120"/>
              <w:bottom w:type="dxa" w:w="80"/>
              <w:right w:type="dxa" w:w="120"/>
            </w:tcMar>
          </w:tcPr>
          <w:p>
            <w:pPr>
              <w:spacing w:after="20" w:before="20" w:line="252"/>
              <w:jc w:val="left"/>
            </w:pPr>
            <w:r>
              <w:rPr>
                <w:rFonts w:ascii="Helvetica Neue" w:cs="Helvetica Neue" w:eastAsia="Helvetica Neue" w:hAnsi="Helvetica Neue"/>
                <w:b w:val="false"/>
                <w:bCs w:val="false"/>
                <w:color w:val="333333"/>
                <w:sz w:val="20"/>
                <w:szCs w:val="20"/>
              </w:rPr>
              <w:t xml:space="preserve">The evidence for the fast-reject question in section 9.</w:t>
            </w:r>
          </w:p>
        </w:tc>
      </w:tr>
      <w:tr>
        <w:tc>
          <w:tcPr>
            <w:tcW w:type="dxa" w:w="3000"/>
            <w:tcBorders>
              <w:top w:val="none" w:color="FFFFFF" w:sz="0"/>
              <w:left w:val="none" w:color="FFFFFF" w:sz="0"/>
              <w:bottom w:val="single" w:color="CCCCCC" w:sz="1"/>
              <w:right w:val="none" w:color="FFFFFF" w:sz="0"/>
            </w:tcBorders>
            <w:tcMar>
              <w:top w:type="dxa" w:w="80"/>
              <w:left w:type="dxa" w:w="120"/>
              <w:bottom w:type="dxa" w:w="80"/>
              <w:right w:type="dxa" w:w="120"/>
            </w:tcMar>
          </w:tcPr>
          <w:p>
            <w:pPr>
              <w:spacing w:after="20" w:before="20" w:line="252"/>
              <w:jc w:val="left"/>
            </w:pPr>
            <w:r>
              <w:rPr>
                <w:rFonts w:ascii="Helvetica Neue" w:cs="Helvetica Neue" w:eastAsia="Helvetica Neue" w:hAnsi="Helvetica Neue"/>
                <w:b w:val="false"/>
                <w:bCs w:val="false"/>
                <w:color w:val="333333"/>
                <w:sz w:val="20"/>
                <w:szCs w:val="20"/>
              </w:rPr>
              <w:t xml:space="preserve">Challenge-set metrics</w:t>
            </w:r>
          </w:p>
        </w:tc>
        <w:tc>
          <w:tcPr>
            <w:tcW w:type="dxa" w:w="5640"/>
            <w:tcBorders>
              <w:top w:val="none" w:color="FFFFFF" w:sz="0"/>
              <w:left w:val="none" w:color="FFFFFF" w:sz="0"/>
              <w:bottom w:val="single" w:color="CCCCCC" w:sz="1"/>
              <w:right w:val="none" w:color="FFFFFF" w:sz="0"/>
            </w:tcBorders>
            <w:tcMar>
              <w:top w:type="dxa" w:w="80"/>
              <w:left w:type="dxa" w:w="120"/>
              <w:bottom w:type="dxa" w:w="80"/>
              <w:right w:type="dxa" w:w="120"/>
            </w:tcMar>
          </w:tcPr>
          <w:p>
            <w:pPr>
              <w:spacing w:after="20" w:before="20" w:line="252"/>
              <w:jc w:val="left"/>
            </w:pPr>
            <w:r>
              <w:rPr>
                <w:rFonts w:ascii="Helvetica Neue" w:cs="Helvetica Neue" w:eastAsia="Helvetica Neue" w:hAnsi="Helvetica Neue"/>
                <w:b w:val="false"/>
                <w:bCs w:val="false"/>
                <w:color w:val="333333"/>
                <w:sz w:val="20"/>
                <w:szCs w:val="20"/>
              </w:rPr>
              <w:t xml:space="preserve">Whether the rules generalise to document types held out of the corpus.</w:t>
            </w:r>
          </w:p>
        </w:tc>
      </w:tr>
      <w:tr>
        <w:tc>
          <w:tcPr>
            <w:tcW w:type="dxa" w:w="3000"/>
            <w:tcBorders>
              <w:top w:val="none" w:color="FFFFFF" w:sz="0"/>
              <w:left w:val="none" w:color="FFFFFF" w:sz="0"/>
              <w:bottom w:val="none" w:color="FFFFFF" w:sz="0"/>
              <w:right w:val="none" w:color="FFFFFF" w:sz="0"/>
            </w:tcBorders>
            <w:tcMar>
              <w:top w:type="dxa" w:w="80"/>
              <w:left w:type="dxa" w:w="120"/>
              <w:bottom w:type="dxa" w:w="80"/>
              <w:right w:type="dxa" w:w="120"/>
            </w:tcMar>
          </w:tcPr>
          <w:p>
            <w:pPr>
              <w:spacing w:after="20" w:before="20" w:line="252"/>
              <w:jc w:val="left"/>
            </w:pPr>
            <w:r>
              <w:rPr>
                <w:rFonts w:ascii="Helvetica Neue" w:cs="Helvetica Neue" w:eastAsia="Helvetica Neue" w:hAnsi="Helvetica Neue"/>
                <w:b w:val="false"/>
                <w:bCs w:val="false"/>
                <w:color w:val="333333"/>
                <w:sz w:val="20"/>
                <w:szCs w:val="20"/>
              </w:rPr>
              <w:t xml:space="preserve">Latency, mean and 95th percentile</w:t>
            </w:r>
          </w:p>
        </w:tc>
        <w:tc>
          <w:tcPr>
            <w:tcW w:type="dxa" w:w="5640"/>
            <w:tcBorders>
              <w:top w:val="none" w:color="FFFFFF" w:sz="0"/>
              <w:left w:val="none" w:color="FFFFFF" w:sz="0"/>
              <w:bottom w:val="none" w:color="FFFFFF" w:sz="0"/>
              <w:right w:val="none" w:color="FFFFFF" w:sz="0"/>
            </w:tcBorders>
            <w:tcMar>
              <w:top w:type="dxa" w:w="80"/>
              <w:left w:type="dxa" w:w="120"/>
              <w:bottom w:type="dxa" w:w="80"/>
              <w:right w:type="dxa" w:w="120"/>
            </w:tcMar>
          </w:tcPr>
          <w:p>
            <w:pPr>
              <w:spacing w:after="20" w:before="20" w:line="252"/>
              <w:jc w:val="left"/>
            </w:pPr>
            <w:r>
              <w:rPr>
                <w:rFonts w:ascii="Helvetica Neue" w:cs="Helvetica Neue" w:eastAsia="Helvetica Neue" w:hAnsi="Helvetica Neue"/>
                <w:b w:val="false"/>
                <w:bCs w:val="false"/>
                <w:color w:val="333333"/>
                <w:sz w:val="20"/>
                <w:szCs w:val="20"/>
              </w:rPr>
              <w:t xml:space="preserve">The two-stage architecture is only justified if Stage 1 is cheap. This is where that claim becomes a measurement.</w:t>
            </w:r>
          </w:p>
        </w:tc>
      </w:tr>
    </w:tbl>
    <w:p>
      <w:pPr>
        <w:pStyle w:val="Heading1"/>
        <w:spacing w:after="120" w:before="360" w:line="240"/>
        <w:jc w:val="left"/>
      </w:pPr>
      <w:r>
        <w:rPr>
          <w:rFonts w:ascii="Helvetica Neue" w:cs="Helvetica Neue" w:eastAsia="Helvetica Neue" w:hAnsi="Helvetica Neue"/>
          <w:b/>
          <w:bCs/>
          <w:color w:val="000000"/>
          <w:sz w:val="36"/>
          <w:szCs w:val="36"/>
        </w:rPr>
        <w:t xml:space="preserve">8. Test suite</w:t>
      </w:r>
    </w:p>
    <w:p>
      <w:pPr>
        <w:spacing w:after="60" w:before="0"/>
      </w:pPr>
    </w:p>
    <w:tbl>
      <w:tblPr>
        <w:tblW w:type="dxa" w:w="8640"/>
        <w:tblBorders>
          <w:top w:val="none" w:color="FFFFFF" w:sz="0"/>
          <w:left w:val="none" w:color="FFFFFF" w:sz="0"/>
          <w:bottom w:val="none" w:color="FFFFFF" w:sz="0"/>
          <w:right w:val="none" w:color="FFFFFF" w:sz="0"/>
          <w:insideH w:val="single" w:color="CCCCCC" w:sz="1"/>
          <w:insideV w:val="none" w:color="FFFFFF" w:sz="0"/>
        </w:tblBorders>
      </w:tblPr>
      <w:tblGrid>
        <w:gridCol w:w="2400"/>
        <w:gridCol w:w="6240"/>
      </w:tblGrid>
      <w:tr>
        <w:trPr>
          <w:tblHeader/>
        </w:trPr>
        <w:tc>
          <w:tcPr>
            <w:tcW w:type="dxa" w:w="2400"/>
            <w:tcBorders>
              <w:top w:val="none" w:color="FFFFFF" w:sz="0"/>
              <w:left w:val="none" w:color="FFFFFF" w:sz="0"/>
              <w:bottom w:val="single" w:color="999999" w:sz="4"/>
              <w:right w:val="none" w:color="FFFFFF" w:sz="0"/>
            </w:tcBorders>
            <w:tcMar>
              <w:top w:type="dxa" w:w="80"/>
              <w:left w:type="dxa" w:w="120"/>
              <w:bottom w:type="dxa" w:w="80"/>
              <w:right w:type="dxa" w:w="120"/>
            </w:tcMar>
          </w:tcPr>
          <w:p>
            <w:pPr>
              <w:spacing w:after="20" w:before="20" w:line="252"/>
              <w:jc w:val="left"/>
            </w:pPr>
            <w:r>
              <w:rPr>
                <w:rFonts w:ascii="Helvetica Neue" w:cs="Helvetica Neue" w:eastAsia="Helvetica Neue" w:hAnsi="Helvetica Neue"/>
                <w:b/>
                <w:bCs/>
                <w:color w:val="333333"/>
                <w:sz w:val="20"/>
                <w:szCs w:val="20"/>
              </w:rPr>
              <w:t xml:space="preserve">Layer</w:t>
            </w:r>
          </w:p>
        </w:tc>
        <w:tc>
          <w:tcPr>
            <w:tcW w:type="dxa" w:w="6240"/>
            <w:tcBorders>
              <w:top w:val="none" w:color="FFFFFF" w:sz="0"/>
              <w:left w:val="none" w:color="FFFFFF" w:sz="0"/>
              <w:bottom w:val="single" w:color="999999" w:sz="4"/>
              <w:right w:val="none" w:color="FFFFFF" w:sz="0"/>
            </w:tcBorders>
            <w:tcMar>
              <w:top w:type="dxa" w:w="80"/>
              <w:left w:type="dxa" w:w="120"/>
              <w:bottom w:type="dxa" w:w="80"/>
              <w:right w:type="dxa" w:w="120"/>
            </w:tcMar>
          </w:tcPr>
          <w:p>
            <w:pPr>
              <w:spacing w:after="20" w:before="20" w:line="252"/>
              <w:jc w:val="left"/>
            </w:pPr>
            <w:r>
              <w:rPr>
                <w:rFonts w:ascii="Helvetica Neue" w:cs="Helvetica Neue" w:eastAsia="Helvetica Neue" w:hAnsi="Helvetica Neue"/>
                <w:b/>
                <w:bCs/>
                <w:color w:val="333333"/>
                <w:sz w:val="20"/>
                <w:szCs w:val="20"/>
              </w:rPr>
              <w:t xml:space="preserve">What it covers</w:t>
            </w:r>
          </w:p>
        </w:tc>
      </w:tr>
      <w:tr>
        <w:tc>
          <w:tcPr>
            <w:tcW w:type="dxa" w:w="2400"/>
            <w:tcBorders>
              <w:top w:val="none" w:color="FFFFFF" w:sz="0"/>
              <w:left w:val="none" w:color="FFFFFF" w:sz="0"/>
              <w:bottom w:val="single" w:color="CCCCCC" w:sz="1"/>
              <w:right w:val="none" w:color="FFFFFF" w:sz="0"/>
            </w:tcBorders>
            <w:tcMar>
              <w:top w:type="dxa" w:w="80"/>
              <w:left w:type="dxa" w:w="120"/>
              <w:bottom w:type="dxa" w:w="80"/>
              <w:right w:type="dxa" w:w="120"/>
            </w:tcMar>
          </w:tcPr>
          <w:p>
            <w:pPr>
              <w:spacing w:after="20" w:before="20" w:line="252"/>
              <w:jc w:val="left"/>
            </w:pPr>
            <w:r>
              <w:rPr>
                <w:rFonts w:ascii="Helvetica Neue" w:cs="Helvetica Neue" w:eastAsia="Helvetica Neue" w:hAnsi="Helvetica Neue"/>
                <w:b w:val="false"/>
                <w:bCs w:val="false"/>
                <w:color w:val="333333"/>
                <w:sz w:val="20"/>
                <w:szCs w:val="20"/>
              </w:rPr>
              <w:t xml:space="preserve">Per-rule unit tests</w:t>
            </w:r>
          </w:p>
        </w:tc>
        <w:tc>
          <w:tcPr>
            <w:tcW w:type="dxa" w:w="6240"/>
            <w:tcBorders>
              <w:top w:val="none" w:color="FFFFFF" w:sz="0"/>
              <w:left w:val="none" w:color="FFFFFF" w:sz="0"/>
              <w:bottom w:val="single" w:color="CCCCCC" w:sz="1"/>
              <w:right w:val="none" w:color="FFFFFF" w:sz="0"/>
            </w:tcBorders>
            <w:tcMar>
              <w:top w:type="dxa" w:w="80"/>
              <w:left w:type="dxa" w:w="120"/>
              <w:bottom w:type="dxa" w:w="80"/>
              <w:right w:type="dxa" w:w="120"/>
            </w:tcMar>
          </w:tcPr>
          <w:p>
            <w:pPr>
              <w:spacing w:after="20" w:before="20" w:line="252"/>
              <w:jc w:val="left"/>
            </w:pPr>
            <w:r>
              <w:rPr>
                <w:rFonts w:ascii="Helvetica Neue" w:cs="Helvetica Neue" w:eastAsia="Helvetica Neue" w:hAnsi="Helvetica Neue"/>
                <w:b w:val="false"/>
                <w:bCs w:val="false"/>
                <w:color w:val="333333"/>
                <w:sz w:val="20"/>
                <w:szCs w:val="20"/>
              </w:rPr>
              <w:t xml:space="preserve">Each rule fires on a crafted positive and stays silent on a crafted near-miss — in particular the benign phrasings it must not confuse with the attack it targets.</w:t>
            </w:r>
          </w:p>
        </w:tc>
      </w:tr>
      <w:tr>
        <w:tc>
          <w:tcPr>
            <w:tcW w:type="dxa" w:w="2400"/>
            <w:tcBorders>
              <w:top w:val="none" w:color="FFFFFF" w:sz="0"/>
              <w:left w:val="none" w:color="FFFFFF" w:sz="0"/>
              <w:bottom w:val="single" w:color="CCCCCC" w:sz="1"/>
              <w:right w:val="none" w:color="FFFFFF" w:sz="0"/>
            </w:tcBorders>
            <w:tcMar>
              <w:top w:type="dxa" w:w="80"/>
              <w:left w:type="dxa" w:w="120"/>
              <w:bottom w:type="dxa" w:w="80"/>
              <w:right w:type="dxa" w:w="120"/>
            </w:tcMar>
          </w:tcPr>
          <w:p>
            <w:pPr>
              <w:spacing w:after="20" w:before="20" w:line="252"/>
              <w:jc w:val="left"/>
            </w:pPr>
            <w:r>
              <w:rPr>
                <w:rFonts w:ascii="Helvetica Neue" w:cs="Helvetica Neue" w:eastAsia="Helvetica Neue" w:hAnsi="Helvetica Neue"/>
                <w:b w:val="false"/>
                <w:bCs w:val="false"/>
                <w:color w:val="333333"/>
                <w:sz w:val="20"/>
                <w:szCs w:val="20"/>
              </w:rPr>
              <w:t xml:space="preserve">Normalisation tests</w:t>
            </w:r>
          </w:p>
        </w:tc>
        <w:tc>
          <w:tcPr>
            <w:tcW w:type="dxa" w:w="6240"/>
            <w:tcBorders>
              <w:top w:val="none" w:color="FFFFFF" w:sz="0"/>
              <w:left w:val="none" w:color="FFFFFF" w:sz="0"/>
              <w:bottom w:val="single" w:color="CCCCCC" w:sz="1"/>
              <w:right w:val="none" w:color="FFFFFF" w:sz="0"/>
            </w:tcBorders>
            <w:tcMar>
              <w:top w:type="dxa" w:w="80"/>
              <w:left w:type="dxa" w:w="120"/>
              <w:bottom w:type="dxa" w:w="80"/>
              <w:right w:type="dxa" w:w="120"/>
            </w:tcMar>
          </w:tcPr>
          <w:p>
            <w:pPr>
              <w:spacing w:after="20" w:before="20" w:line="252"/>
              <w:jc w:val="left"/>
            </w:pPr>
            <w:r>
              <w:rPr>
                <w:rFonts w:ascii="Helvetica Neue" w:cs="Helvetica Neue" w:eastAsia="Helvetica Neue" w:hAnsi="Helvetica Neue"/>
                <w:b w:val="false"/>
                <w:bCs w:val="false"/>
                <w:color w:val="333333"/>
                <w:sz w:val="20"/>
                <w:szCs w:val="20"/>
              </w:rPr>
              <w:t xml:space="preserve">Each transformation recovers the payload it exists to recover, and leaves ordinary text unchanged.</w:t>
            </w:r>
          </w:p>
        </w:tc>
      </w:tr>
      <w:tr>
        <w:tc>
          <w:tcPr>
            <w:tcW w:type="dxa" w:w="2400"/>
            <w:tcBorders>
              <w:top w:val="none" w:color="FFFFFF" w:sz="0"/>
              <w:left w:val="none" w:color="FFFFFF" w:sz="0"/>
              <w:bottom w:val="single" w:color="CCCCCC" w:sz="1"/>
              <w:right w:val="none" w:color="FFFFFF" w:sz="0"/>
            </w:tcBorders>
            <w:tcMar>
              <w:top w:type="dxa" w:w="80"/>
              <w:left w:type="dxa" w:w="120"/>
              <w:bottom w:type="dxa" w:w="80"/>
              <w:right w:type="dxa" w:w="120"/>
            </w:tcMar>
          </w:tcPr>
          <w:p>
            <w:pPr>
              <w:spacing w:after="20" w:before="20" w:line="252"/>
              <w:jc w:val="left"/>
            </w:pPr>
            <w:r>
              <w:rPr>
                <w:rFonts w:ascii="Helvetica Neue" w:cs="Helvetica Neue" w:eastAsia="Helvetica Neue" w:hAnsi="Helvetica Neue"/>
                <w:b w:val="false"/>
                <w:bCs w:val="false"/>
                <w:color w:val="333333"/>
                <w:sz w:val="20"/>
                <w:szCs w:val="20"/>
              </w:rPr>
              <w:t xml:space="preserve">Scoring tests</w:t>
            </w:r>
          </w:p>
        </w:tc>
        <w:tc>
          <w:tcPr>
            <w:tcW w:type="dxa" w:w="6240"/>
            <w:tcBorders>
              <w:top w:val="none" w:color="FFFFFF" w:sz="0"/>
              <w:left w:val="none" w:color="FFFFFF" w:sz="0"/>
              <w:bottom w:val="single" w:color="CCCCCC" w:sz="1"/>
              <w:right w:val="none" w:color="FFFFFF" w:sz="0"/>
            </w:tcBorders>
            <w:tcMar>
              <w:top w:type="dxa" w:w="80"/>
              <w:left w:type="dxa" w:w="120"/>
              <w:bottom w:type="dxa" w:w="80"/>
              <w:right w:type="dxa" w:w="120"/>
            </w:tcMar>
          </w:tcPr>
          <w:p>
            <w:pPr>
              <w:spacing w:after="20" w:before="20" w:line="252"/>
              <w:jc w:val="left"/>
            </w:pPr>
            <w:r>
              <w:rPr>
                <w:rFonts w:ascii="Helvetica Neue" w:cs="Helvetica Neue" w:eastAsia="Helvetica Neue" w:hAnsi="Helvetica Neue"/>
                <w:b w:val="false"/>
                <w:bCs w:val="false"/>
                <w:color w:val="333333"/>
                <w:sz w:val="20"/>
                <w:szCs w:val="20"/>
              </w:rPr>
              <w:t xml:space="preserve">Noisy-OR behaves as specified; the hit cap, location weighting and quotation discount each demonstrably apply.</w:t>
            </w:r>
          </w:p>
        </w:tc>
      </w:tr>
      <w:tr>
        <w:tc>
          <w:tcPr>
            <w:tcW w:type="dxa" w:w="2400"/>
            <w:tcBorders>
              <w:top w:val="none" w:color="FFFFFF" w:sz="0"/>
              <w:left w:val="none" w:color="FFFFFF" w:sz="0"/>
              <w:bottom w:val="single" w:color="CCCCCC" w:sz="1"/>
              <w:right w:val="none" w:color="FFFFFF" w:sz="0"/>
            </w:tcBorders>
            <w:tcMar>
              <w:top w:type="dxa" w:w="80"/>
              <w:left w:type="dxa" w:w="120"/>
              <w:bottom w:type="dxa" w:w="80"/>
              <w:right w:type="dxa" w:w="120"/>
            </w:tcMar>
          </w:tcPr>
          <w:p>
            <w:pPr>
              <w:spacing w:after="20" w:before="20" w:line="252"/>
              <w:jc w:val="left"/>
            </w:pPr>
            <w:r>
              <w:rPr>
                <w:rFonts w:ascii="Helvetica Neue" w:cs="Helvetica Neue" w:eastAsia="Helvetica Neue" w:hAnsi="Helvetica Neue"/>
                <w:b w:val="false"/>
                <w:bCs w:val="false"/>
                <w:color w:val="333333"/>
                <w:sz w:val="20"/>
                <w:szCs w:val="20"/>
              </w:rPr>
              <w:t xml:space="preserve">Dataset metric floors</w:t>
            </w:r>
          </w:p>
        </w:tc>
        <w:tc>
          <w:tcPr>
            <w:tcW w:type="dxa" w:w="6240"/>
            <w:tcBorders>
              <w:top w:val="none" w:color="FFFFFF" w:sz="0"/>
              <w:left w:val="none" w:color="FFFFFF" w:sz="0"/>
              <w:bottom w:val="single" w:color="CCCCCC" w:sz="1"/>
              <w:right w:val="none" w:color="FFFFFF" w:sz="0"/>
            </w:tcBorders>
            <w:tcMar>
              <w:top w:type="dxa" w:w="80"/>
              <w:left w:type="dxa" w:w="120"/>
              <w:bottom w:type="dxa" w:w="80"/>
              <w:right w:type="dxa" w:w="120"/>
            </w:tcMar>
          </w:tcPr>
          <w:p>
            <w:pPr>
              <w:spacing w:after="20" w:before="20" w:line="252"/>
              <w:jc w:val="left"/>
            </w:pPr>
            <w:r>
              <w:rPr>
                <w:rFonts w:ascii="Helvetica Neue" w:cs="Helvetica Neue" w:eastAsia="Helvetica Neue" w:hAnsi="Helvetica Neue"/>
                <w:b w:val="false"/>
                <w:bCs w:val="false"/>
                <w:color w:val="333333"/>
                <w:sz w:val="20"/>
                <w:szCs w:val="20"/>
              </w:rPr>
              <w:t xml:space="preserve">Precision and recall on the labelled corpus stay above recorded floors, so a later change that quietly degrades detection fails the build rather than passing unnoticed.</w:t>
            </w:r>
          </w:p>
        </w:tc>
      </w:tr>
      <w:tr>
        <w:tc>
          <w:tcPr>
            <w:tcW w:type="dxa" w:w="2400"/>
            <w:tcBorders>
              <w:top w:val="none" w:color="FFFFFF" w:sz="0"/>
              <w:left w:val="none" w:color="FFFFFF" w:sz="0"/>
              <w:bottom w:val="none" w:color="FFFFFF" w:sz="0"/>
              <w:right w:val="none" w:color="FFFFFF" w:sz="0"/>
            </w:tcBorders>
            <w:tcMar>
              <w:top w:type="dxa" w:w="80"/>
              <w:left w:type="dxa" w:w="120"/>
              <w:bottom w:type="dxa" w:w="80"/>
              <w:right w:type="dxa" w:w="120"/>
            </w:tcMar>
          </w:tcPr>
          <w:p>
            <w:pPr>
              <w:spacing w:after="20" w:before="20" w:line="252"/>
              <w:jc w:val="left"/>
            </w:pPr>
            <w:r>
              <w:rPr>
                <w:rFonts w:ascii="Helvetica Neue" w:cs="Helvetica Neue" w:eastAsia="Helvetica Neue" w:hAnsi="Helvetica Neue"/>
                <w:b w:val="false"/>
                <w:bCs w:val="false"/>
                <w:color w:val="333333"/>
                <w:sz w:val="20"/>
                <w:szCs w:val="20"/>
              </w:rPr>
              <w:t xml:space="preserve">Reported metrics</w:t>
            </w:r>
          </w:p>
        </w:tc>
        <w:tc>
          <w:tcPr>
            <w:tcW w:type="dxa" w:w="6240"/>
            <w:tcBorders>
              <w:top w:val="none" w:color="FFFFFF" w:sz="0"/>
              <w:left w:val="none" w:color="FFFFFF" w:sz="0"/>
              <w:bottom w:val="none" w:color="FFFFFF" w:sz="0"/>
              <w:right w:val="none" w:color="FFFFFF" w:sz="0"/>
            </w:tcBorders>
            <w:tcMar>
              <w:top w:type="dxa" w:w="80"/>
              <w:left w:type="dxa" w:w="120"/>
              <w:bottom w:type="dxa" w:w="80"/>
              <w:right w:type="dxa" w:w="120"/>
            </w:tcMar>
          </w:tcPr>
          <w:p>
            <w:pPr>
              <w:spacing w:after="20" w:before="20" w:line="252"/>
              <w:jc w:val="left"/>
            </w:pPr>
            <w:r>
              <w:rPr>
                <w:rFonts w:ascii="Helvetica Neue" w:cs="Helvetica Neue" w:eastAsia="Helvetica Neue" w:hAnsi="Helvetica Neue"/>
                <w:b w:val="false"/>
                <w:bCs w:val="false"/>
                <w:color w:val="333333"/>
                <w:sz w:val="20"/>
                <w:szCs w:val="20"/>
              </w:rPr>
              <w:t xml:space="preserve">The suite prints the confusion matrix and the per-technique breakdown, so running the tests answers the question this phase exists to answer.</w:t>
            </w:r>
          </w:p>
        </w:tc>
      </w:tr>
    </w:tbl>
    <w:p>
      <w:pPr>
        <w:spacing w:after="120" w:before="120" w:line="276"/>
        <w:jc w:val="both"/>
      </w:pPr>
      <w:r>
        <w:rPr>
          <w:rFonts w:ascii="Helvetica Neue" w:cs="Helvetica Neue" w:eastAsia="Helvetica Neue" w:hAnsi="Helvetica Neue"/>
          <w:i w:val="false"/>
          <w:iCs w:val="false"/>
          <w:color w:val="333333"/>
          <w:sz w:val="22"/>
          <w:szCs w:val="22"/>
        </w:rPr>
        <w:t xml:space="preserve">Metric floors are set below measured performance by a margin. A floor set at the measured value would fail on any harmless variation; a floor set far below it would never fail at all. The margin is recorded with the floor so that a future change to either is a deliberate act.</w:t>
      </w:r>
    </w:p>
    <w:p>
      <w:pPr>
        <w:pStyle w:val="Heading1"/>
        <w:spacing w:after="120" w:before="360" w:line="240"/>
        <w:jc w:val="left"/>
      </w:pPr>
      <w:r>
        <w:rPr>
          <w:rFonts w:ascii="Helvetica Neue" w:cs="Helvetica Neue" w:eastAsia="Helvetica Neue" w:hAnsi="Helvetica Neue"/>
          <w:b/>
          <w:bCs/>
          <w:color w:val="000000"/>
          <w:sz w:val="36"/>
          <w:szCs w:val="36"/>
        </w:rPr>
        <w:t xml:space="preserve">9. The fast-reject question</w:t>
      </w:r>
    </w:p>
    <w:p>
      <w:pPr>
        <w:spacing w:after="120" w:before="120" w:line="276"/>
        <w:jc w:val="both"/>
      </w:pPr>
      <w:r>
        <w:rPr>
          <w:rFonts w:ascii="Helvetica Neue" w:cs="Helvetica Neue" w:eastAsia="Helvetica Neue" w:hAnsi="Helvetica Neue"/>
          <w:i w:val="false"/>
          <w:iCs w:val="false"/>
          <w:color w:val="333333"/>
          <w:sz w:val="22"/>
          <w:szCs w:val="22"/>
        </w:rPr>
        <w:t xml:space="preserve">The project reference leaves one design question open: whether Stage 1 may send a document straight to a blocked verdict on a high-confidence match, skipping Stage 2 entirely. It also says the question should be settled during implementation and the reasoning documented, because it will need justifying in the thesis.</w:t>
      </w:r>
    </w:p>
    <w:p>
      <w:pPr>
        <w:spacing w:after="120" w:before="120" w:line="276"/>
        <w:jc w:val="both"/>
      </w:pPr>
      <w:r>
        <w:rPr>
          <w:rFonts w:ascii="Helvetica Neue" w:cs="Helvetica Neue" w:eastAsia="Helvetica Neue" w:hAnsi="Helvetica Neue"/>
          <w:i w:val="false"/>
          <w:iCs w:val="false"/>
          <w:color w:val="333333"/>
          <w:sz w:val="22"/>
          <w:szCs w:val="22"/>
        </w:rPr>
        <w:t xml:space="preserve">Phase 3 does not build a fast-reject path. It produces the evidence for the decision: precision within each score band on the training split. The question is really a single empirical one — is there a score above which Stage 1 has never been wrong, and does a useful share of malicious documents reach it? If precision is perfect above some band and the band holds meaningful volume, fast-reject buys real latency at no measured cost in accuracy. If precision is merely high, it does not: the cost is a false positive that Stage 2 would have caught, on a document a user legitimately wanted.</w:t>
      </w:r>
    </w:p>
    <w:p>
      <w:pPr>
        <w:spacing w:after="120" w:before="120" w:line="276"/>
        <w:jc w:val="both"/>
      </w:pPr>
      <w:r>
        <w:rPr>
          <w:rFonts w:ascii="Helvetica Neue" w:cs="Helvetica Neue" w:eastAsia="Helvetica Neue" w:hAnsi="Helvetica Neue"/>
          <w:i w:val="false"/>
          <w:iCs w:val="false"/>
          <w:color w:val="333333"/>
          <w:sz w:val="22"/>
          <w:szCs w:val="22"/>
        </w:rPr>
        <w:t xml:space="preserve">The recommendation and the numbers behind it are reported at the end of this phase. Nothing is wired in and no architecture diagram should show a fast-reject path until it is, per the project reference.</w:t>
      </w:r>
    </w:p>
    <w:p>
      <w:pPr>
        <w:pStyle w:val="Heading1"/>
        <w:spacing w:after="120" w:before="360" w:line="240"/>
        <w:jc w:val="left"/>
      </w:pPr>
      <w:r>
        <w:rPr>
          <w:rFonts w:ascii="Helvetica Neue" w:cs="Helvetica Neue" w:eastAsia="Helvetica Neue" w:hAnsi="Helvetica Neue"/>
          <w:b/>
          <w:bCs/>
          <w:color w:val="000000"/>
          <w:sz w:val="36"/>
          <w:szCs w:val="36"/>
        </w:rPr>
        <w:t xml:space="preserve">10. Stage 1 is not wired into the endpoint</w:t>
      </w:r>
    </w:p>
    <w:p>
      <w:pPr>
        <w:spacing w:after="120" w:before="120" w:line="276"/>
        <w:jc w:val="both"/>
      </w:pPr>
      <w:r>
        <w:rPr>
          <w:rFonts w:ascii="Helvetica Neue" w:cs="Helvetica Neue" w:eastAsia="Helvetica Neue" w:hAnsi="Helvetica Neue"/>
          <w:i w:val="false"/>
          <w:iCs w:val="false"/>
          <w:color w:val="333333"/>
          <w:sz w:val="22"/>
          <w:szCs w:val="22"/>
        </w:rPr>
        <w:t xml:space="preserve">The roadmap places wiring both stages behind the single endpoint in Phase 5, and this phase respects that. Stage 1 ships as a detection module with an evaluation harness; POST /v1/scan continues to return its stub response, and the health endpoint continues to report stage_1_ready as false.</w:t>
      </w:r>
    </w:p>
    <w:p>
      <w:pPr>
        <w:spacing w:after="120" w:before="120" w:line="276"/>
        <w:jc w:val="both"/>
      </w:pPr>
      <w:r>
        <w:rPr>
          <w:rFonts w:ascii="Helvetica Neue" w:cs="Helvetica Neue" w:eastAsia="Helvetica Neue" w:hAnsi="Helvetica Neue"/>
          <w:i w:val="false"/>
          <w:iCs w:val="false"/>
          <w:color w:val="333333"/>
          <w:sz w:val="22"/>
          <w:szCs w:val="22"/>
        </w:rPr>
        <w:t xml:space="preserve">That reads oddly at first — the detector exists but the service reports it as absent — so the reasoning is worth stating. The readiness flag means loaded into the request path, not present in the repository, and the flag would be lying if it said otherwise. Keeping the phases separate also keeps this one testable in isolation, which is what the brief asks for: the metrics below are properties of the rules, uncontaminated by anything the API layer does. Phase 5 flips the flag when the endpoint actually calls the detector.</w:t>
      </w:r>
    </w:p>
    <w:p>
      <w:pPr>
        <w:pStyle w:val="Heading1"/>
        <w:spacing w:after="120" w:before="360" w:line="240"/>
        <w:jc w:val="left"/>
      </w:pPr>
      <w:r>
        <w:rPr>
          <w:rFonts w:ascii="Helvetica Neue" w:cs="Helvetica Neue" w:eastAsia="Helvetica Neue" w:hAnsi="Helvetica Neue"/>
          <w:b/>
          <w:bCs/>
          <w:color w:val="000000"/>
          <w:sz w:val="36"/>
          <w:szCs w:val="36"/>
        </w:rPr>
        <w:t xml:space="preserve">11. Expected failure modes</w:t>
      </w:r>
    </w:p>
    <w:p>
      <w:pPr>
        <w:spacing w:after="120" w:before="120" w:line="276"/>
        <w:jc w:val="both"/>
      </w:pPr>
      <w:r>
        <w:rPr>
          <w:rFonts w:ascii="Helvetica Neue" w:cs="Helvetica Neue" w:eastAsia="Helvetica Neue" w:hAnsi="Helvetica Neue"/>
          <w:i w:val="false"/>
          <w:iCs w:val="false"/>
          <w:color w:val="333333"/>
          <w:sz w:val="22"/>
          <w:szCs w:val="22"/>
        </w:rPr>
        <w:t xml:space="preserve">Recorded before the measurements, so that the results can be read against a prediction rather than rationalised after the fact.</w:t>
      </w:r>
    </w:p>
    <w:p>
      <w:pPr>
        <w:pStyle w:val="ListParagraph"/>
        <w:numPr>
          <w:ilvl w:val="0"/>
          <w:numId w:val="3"/>
        </w:numPr>
        <w:spacing w:after="80" w:before="80" w:line="276"/>
      </w:pPr>
      <w:r>
        <w:rPr>
          <w:rFonts w:ascii="Helvetica Neue" w:cs="Helvetica Neue" w:eastAsia="Helvetica Neue" w:hAnsi="Helvetica Neue"/>
          <w:color w:val="333333"/>
          <w:sz w:val="22"/>
          <w:szCs w:val="22"/>
        </w:rPr>
        <w:t xml:space="preserve">Security training material is the largest expected source of false positives. Documents in the discusses_injection class quote attack strings in order to warn about them, which is exactly what the phrase rules look for. The quotation discount reduces this and will not eliminate it, because not every quotation carries quotation marks.</w:t>
      </w:r>
    </w:p>
    <w:p>
      <w:pPr>
        <w:pStyle w:val="ListParagraph"/>
        <w:numPr>
          <w:ilvl w:val="0"/>
          <w:numId w:val="3"/>
        </w:numPr>
        <w:spacing w:after="80" w:before="80" w:line="276"/>
      </w:pPr>
      <w:r>
        <w:rPr>
          <w:rFonts w:ascii="Helvetica Neue" w:cs="Helvetica Neue" w:eastAsia="Helvetica Neue" w:hAnsi="Helvetica Neue"/>
          <w:color w:val="333333"/>
          <w:sz w:val="22"/>
          <w:szCs w:val="22"/>
        </w:rPr>
        <w:t xml:space="preserve">The most obvious structural feature is unusable. A second-person imperative addressed to the reader — you must, run the following, do not — looks like a strong signal for an injected instruction until one reads the imperative_benign class, where genuine runbooks use the identical construction to tell an engineer to rotate a credential. The feature was considered and discarded, and that is a finding worth reporting rather than a gap: it is the reason R3 requires an automated reader to be named rather than merely an imperative to be present.</w:t>
      </w:r>
    </w:p>
    <w:p>
      <w:pPr>
        <w:pStyle w:val="ListParagraph"/>
        <w:numPr>
          <w:ilvl w:val="0"/>
          <w:numId w:val="3"/>
        </w:numPr>
        <w:spacing w:after="80" w:before="80" w:line="276"/>
      </w:pPr>
      <w:r>
        <w:rPr>
          <w:rFonts w:ascii="Helvetica Neue" w:cs="Helvetica Neue" w:eastAsia="Helvetica Neue" w:hAnsi="Helvetica Neue"/>
          <w:color w:val="333333"/>
          <w:sz w:val="22"/>
          <w:szCs w:val="22"/>
        </w:rPr>
        <w:t xml:space="preserve">Conditioned and delayed instructions should show the weakest recall of the six techniques. Their phrasing is ordinary English — when the user asks about X, respond with Y — carrying no lexical marker of an attack. This is the technique where Stage 2 has the most to add, and a low Stage 1 figure here is informative rather than disappointing.</w:t>
      </w:r>
    </w:p>
    <w:p>
      <w:pPr>
        <w:pStyle w:val="ListParagraph"/>
        <w:numPr>
          <w:ilvl w:val="0"/>
          <w:numId w:val="3"/>
        </w:numPr>
        <w:spacing w:after="80" w:before="80" w:line="276"/>
      </w:pPr>
      <w:r>
        <w:rPr>
          <w:rFonts w:ascii="Helvetica Neue" w:cs="Helvetica Neue" w:eastAsia="Helvetica Neue" w:hAnsi="Helvetica Neue"/>
          <w:color w:val="333333"/>
          <w:sz w:val="22"/>
          <w:szCs w:val="22"/>
        </w:rPr>
        <w:t xml:space="preserve">The challenge set should degrade less than a fine-tuned model would. Rules do not learn document templates, so an unfamiliar scaffold costs them little. If Stage 1 holds its performance on held-out document types while Stage 2 later does not, that is a genuine argument for the pre-filter and worth reporting in those terms.</w:t>
      </w:r>
    </w:p>
    <w:p>
      <w:pPr>
        <w:pStyle w:val="Heading1"/>
        <w:spacing w:after="120" w:before="360" w:line="240"/>
        <w:jc w:val="left"/>
      </w:pPr>
      <w:r>
        <w:rPr>
          <w:rFonts w:ascii="Helvetica Neue" w:cs="Helvetica Neue" w:eastAsia="Helvetica Neue" w:hAnsi="Helvetica Neue"/>
          <w:b/>
          <w:bCs/>
          <w:color w:val="000000"/>
          <w:sz w:val="36"/>
          <w:szCs w:val="36"/>
        </w:rPr>
        <w:t xml:space="preserve">12. Deliverables</w:t>
      </w:r>
    </w:p>
    <w:p>
      <w:pPr>
        <w:spacing w:after="0" w:before="140" w:line="240"/>
        <w:ind w:left="240"/>
        <w:jc w:val="left"/>
      </w:pPr>
      <w:r>
        <w:rPr>
          <w:rFonts w:ascii="Menlo" w:cs="Menlo" w:eastAsia="Menlo" w:hAnsi="Menlo"/>
          <w:color w:val="333333"/>
          <w:sz w:val="19"/>
          <w:szCs w:val="19"/>
        </w:rPr>
        <w:t xml:space="preserve">app/detection/</w:t>
      </w:r>
    </w:p>
    <w:p>
      <w:pPr>
        <w:spacing w:after="0" w:before="0" w:line="240"/>
        <w:ind w:left="240"/>
        <w:jc w:val="left"/>
      </w:pPr>
      <w:r>
        <w:rPr>
          <w:rFonts w:ascii="Menlo" w:cs="Menlo" w:eastAsia="Menlo" w:hAnsi="Menlo"/>
          <w:color w:val="333333"/>
          <w:sz w:val="19"/>
          <w:szCs w:val="19"/>
        </w:rPr>
        <w:t xml:space="preserve">├── stage1.py            the detector: rules, scoring, public entry point</w:t>
      </w:r>
    </w:p>
    <w:p>
      <w:pPr>
        <w:spacing w:after="0" w:before="0" w:line="240"/>
        <w:ind w:left="240"/>
        <w:jc w:val="left"/>
      </w:pPr>
      <w:r>
        <w:rPr>
          <w:rFonts w:ascii="Menlo" w:cs="Menlo" w:eastAsia="Menlo" w:hAnsi="Menlo"/>
          <w:color w:val="333333"/>
          <w:sz w:val="19"/>
          <w:szCs w:val="19"/>
        </w:rPr>
        <w:t xml:space="preserve">├── rules.py             rule definitions and their weights</w:t>
      </w:r>
    </w:p>
    <w:p>
      <w:pPr>
        <w:spacing w:after="0" w:before="0" w:line="240"/>
        <w:ind w:left="240"/>
        <w:jc w:val="left"/>
      </w:pPr>
      <w:r>
        <w:rPr>
          <w:rFonts w:ascii="Menlo" w:cs="Menlo" w:eastAsia="Menlo" w:hAnsi="Menlo"/>
          <w:color w:val="333333"/>
          <w:sz w:val="19"/>
          <w:szCs w:val="19"/>
        </w:rPr>
        <w:t xml:space="preserve">└── normalise.py         the de-obfuscation pipeline</w:t>
      </w:r>
    </w:p>
    <w:p>
      <w:pPr>
        <w:spacing w:after="0" w:before="0" w:line="240"/>
        <w:ind w:left="240"/>
        <w:jc w:val="left"/>
      </w:pPr>
      <w:r>
        <w:rPr>
          <w:rFonts w:ascii="Menlo" w:cs="Menlo" w:eastAsia="Menlo" w:hAnsi="Menlo"/>
          <w:color w:val="333333"/>
          <w:sz w:val="19"/>
          <w:szCs w:val="19"/>
        </w:rPr>
        <w:t xml:space="preserve"/>
      </w:r>
    </w:p>
    <w:p>
      <w:pPr>
        <w:spacing w:after="0" w:before="0" w:line="240"/>
        <w:ind w:left="240"/>
        <w:jc w:val="left"/>
      </w:pPr>
      <w:r>
        <w:rPr>
          <w:rFonts w:ascii="Menlo" w:cs="Menlo" w:eastAsia="Menlo" w:hAnsi="Menlo"/>
          <w:color w:val="333333"/>
          <w:sz w:val="19"/>
          <w:szCs w:val="19"/>
        </w:rPr>
        <w:t xml:space="preserve">scripts/</w:t>
      </w:r>
    </w:p>
    <w:p>
      <w:pPr>
        <w:spacing w:after="0" w:before="0" w:line="240"/>
        <w:ind w:left="240"/>
        <w:jc w:val="left"/>
      </w:pPr>
      <w:r>
        <w:rPr>
          <w:rFonts w:ascii="Menlo" w:cs="Menlo" w:eastAsia="Menlo" w:hAnsi="Menlo"/>
          <w:color w:val="333333"/>
          <w:sz w:val="19"/>
          <w:szCs w:val="19"/>
        </w:rPr>
        <w:t xml:space="preserve">└── evaluate_stage1.py   threshold sweep and the full metric report</w:t>
      </w:r>
    </w:p>
    <w:p>
      <w:pPr>
        <w:spacing w:after="0" w:before="0" w:line="240"/>
        <w:ind w:left="240"/>
        <w:jc w:val="left"/>
      </w:pPr>
      <w:r>
        <w:rPr>
          <w:rFonts w:ascii="Menlo" w:cs="Menlo" w:eastAsia="Menlo" w:hAnsi="Menlo"/>
          <w:color w:val="333333"/>
          <w:sz w:val="19"/>
          <w:szCs w:val="19"/>
        </w:rPr>
        <w:t xml:space="preserve"/>
      </w:r>
    </w:p>
    <w:p>
      <w:pPr>
        <w:spacing w:after="0" w:before="0" w:line="240"/>
        <w:ind w:left="240"/>
        <w:jc w:val="left"/>
      </w:pPr>
      <w:r>
        <w:rPr>
          <w:rFonts w:ascii="Menlo" w:cs="Menlo" w:eastAsia="Menlo" w:hAnsi="Menlo"/>
          <w:color w:val="333333"/>
          <w:sz w:val="19"/>
          <w:szCs w:val="19"/>
        </w:rPr>
        <w:t xml:space="preserve">tests/</w:t>
      </w:r>
    </w:p>
    <w:p>
      <w:pPr>
        <w:spacing w:after="0" w:before="0" w:line="240"/>
        <w:ind w:left="240"/>
        <w:jc w:val="left"/>
      </w:pPr>
      <w:r>
        <w:rPr>
          <w:rFonts w:ascii="Menlo" w:cs="Menlo" w:eastAsia="Menlo" w:hAnsi="Menlo"/>
          <w:color w:val="333333"/>
          <w:sz w:val="19"/>
          <w:szCs w:val="19"/>
        </w:rPr>
        <w:t xml:space="preserve">├── test_stage1_rules.py         per-rule and normalisation unit tests</w:t>
      </w:r>
    </w:p>
    <w:p>
      <w:pPr>
        <w:spacing w:after="140" w:before="0" w:line="240"/>
        <w:ind w:left="240"/>
        <w:jc w:val="left"/>
      </w:pPr>
      <w:r>
        <w:rPr>
          <w:rFonts w:ascii="Menlo" w:cs="Menlo" w:eastAsia="Menlo" w:hAnsi="Menlo"/>
          <w:color w:val="333333"/>
          <w:sz w:val="19"/>
          <w:szCs w:val="19"/>
        </w:rPr>
        <w:t xml:space="preserve">└── test_stage1_evaluation.py    dataset-level metrics and floors</w:t>
      </w:r>
    </w:p>
    <w:p>
      <w:pPr>
        <w:pStyle w:val="Heading1"/>
        <w:spacing w:after="120" w:before="360" w:line="240"/>
        <w:jc w:val="left"/>
      </w:pPr>
      <w:r>
        <w:rPr>
          <w:rFonts w:ascii="Helvetica Neue" w:cs="Helvetica Neue" w:eastAsia="Helvetica Neue" w:hAnsi="Helvetica Neue"/>
          <w:b/>
          <w:bCs/>
          <w:color w:val="000000"/>
          <w:sz w:val="36"/>
          <w:szCs w:val="36"/>
        </w:rPr>
        <w:t xml:space="preserve">13. Constraint traceability</w:t>
      </w:r>
    </w:p>
    <w:p>
      <w:pPr>
        <w:spacing w:after="60" w:before="0"/>
      </w:pPr>
    </w:p>
    <w:tbl>
      <w:tblPr>
        <w:tblW w:type="dxa" w:w="8640"/>
        <w:tblBorders>
          <w:top w:val="none" w:color="FFFFFF" w:sz="0"/>
          <w:left w:val="none" w:color="FFFFFF" w:sz="0"/>
          <w:bottom w:val="none" w:color="FFFFFF" w:sz="0"/>
          <w:right w:val="none" w:color="FFFFFF" w:sz="0"/>
          <w:insideH w:val="single" w:color="CCCCCC" w:sz="1"/>
          <w:insideV w:val="none" w:color="FFFFFF" w:sz="0"/>
        </w:tblBorders>
      </w:tblPr>
      <w:tblGrid>
        <w:gridCol w:w="2900"/>
        <w:gridCol w:w="5740"/>
      </w:tblGrid>
      <w:tr>
        <w:trPr>
          <w:tblHeader/>
        </w:trPr>
        <w:tc>
          <w:tcPr>
            <w:tcW w:type="dxa" w:w="2900"/>
            <w:tcBorders>
              <w:top w:val="none" w:color="FFFFFF" w:sz="0"/>
              <w:left w:val="none" w:color="FFFFFF" w:sz="0"/>
              <w:bottom w:val="single" w:color="999999" w:sz="4"/>
              <w:right w:val="none" w:color="FFFFFF" w:sz="0"/>
            </w:tcBorders>
            <w:tcMar>
              <w:top w:type="dxa" w:w="80"/>
              <w:left w:type="dxa" w:w="120"/>
              <w:bottom w:type="dxa" w:w="80"/>
              <w:right w:type="dxa" w:w="120"/>
            </w:tcMar>
          </w:tcPr>
          <w:p>
            <w:pPr>
              <w:spacing w:after="20" w:before="20" w:line="252"/>
              <w:jc w:val="left"/>
            </w:pPr>
            <w:r>
              <w:rPr>
                <w:rFonts w:ascii="Helvetica Neue" w:cs="Helvetica Neue" w:eastAsia="Helvetica Neue" w:hAnsi="Helvetica Neue"/>
                <w:b/>
                <w:bCs/>
                <w:color w:val="333333"/>
                <w:sz w:val="20"/>
                <w:szCs w:val="20"/>
              </w:rPr>
              <w:t xml:space="preserve">Constraint</w:t>
            </w:r>
          </w:p>
        </w:tc>
        <w:tc>
          <w:tcPr>
            <w:tcW w:type="dxa" w:w="5740"/>
            <w:tcBorders>
              <w:top w:val="none" w:color="FFFFFF" w:sz="0"/>
              <w:left w:val="none" w:color="FFFFFF" w:sz="0"/>
              <w:bottom w:val="single" w:color="999999" w:sz="4"/>
              <w:right w:val="none" w:color="FFFFFF" w:sz="0"/>
            </w:tcBorders>
            <w:tcMar>
              <w:top w:type="dxa" w:w="80"/>
              <w:left w:type="dxa" w:w="120"/>
              <w:bottom w:type="dxa" w:w="80"/>
              <w:right w:type="dxa" w:w="120"/>
            </w:tcMar>
          </w:tcPr>
          <w:p>
            <w:pPr>
              <w:spacing w:after="20" w:before="20" w:line="252"/>
              <w:jc w:val="left"/>
            </w:pPr>
            <w:r>
              <w:rPr>
                <w:rFonts w:ascii="Helvetica Neue" w:cs="Helvetica Neue" w:eastAsia="Helvetica Neue" w:hAnsi="Helvetica Neue"/>
                <w:b/>
                <w:bCs/>
                <w:color w:val="333333"/>
                <w:sz w:val="20"/>
                <w:szCs w:val="20"/>
              </w:rPr>
              <w:t xml:space="preserve">How Phase 3 honours it</w:t>
            </w:r>
          </w:p>
        </w:tc>
      </w:tr>
      <w:tr>
        <w:tc>
          <w:tcPr>
            <w:tcW w:type="dxa" w:w="2900"/>
            <w:tcBorders>
              <w:top w:val="none" w:color="FFFFFF" w:sz="0"/>
              <w:left w:val="none" w:color="FFFFFF" w:sz="0"/>
              <w:bottom w:val="single" w:color="CCCCCC" w:sz="1"/>
              <w:right w:val="none" w:color="FFFFFF" w:sz="0"/>
            </w:tcBorders>
            <w:tcMar>
              <w:top w:type="dxa" w:w="80"/>
              <w:left w:type="dxa" w:w="120"/>
              <w:bottom w:type="dxa" w:w="80"/>
              <w:right w:type="dxa" w:w="120"/>
            </w:tcMar>
          </w:tcPr>
          <w:p>
            <w:pPr>
              <w:spacing w:after="20" w:before="20" w:line="252"/>
              <w:jc w:val="left"/>
            </w:pPr>
            <w:r>
              <w:rPr>
                <w:rFonts w:ascii="Helvetica Neue" w:cs="Helvetica Neue" w:eastAsia="Helvetica Neue" w:hAnsi="Helvetica Neue"/>
                <w:b w:val="false"/>
                <w:bCs w:val="false"/>
                <w:color w:val="333333"/>
                <w:sz w:val="20"/>
                <w:szCs w:val="20"/>
              </w:rPr>
              <w:t xml:space="preserve">Stage 1 is a lightweight heuristic pre-filter</w:t>
            </w:r>
          </w:p>
        </w:tc>
        <w:tc>
          <w:tcPr>
            <w:tcW w:type="dxa" w:w="5740"/>
            <w:tcBorders>
              <w:top w:val="none" w:color="FFFFFF" w:sz="0"/>
              <w:left w:val="none" w:color="FFFFFF" w:sz="0"/>
              <w:bottom w:val="single" w:color="CCCCCC" w:sz="1"/>
              <w:right w:val="none" w:color="FFFFFF" w:sz="0"/>
            </w:tcBorders>
            <w:tcMar>
              <w:top w:type="dxa" w:w="80"/>
              <w:left w:type="dxa" w:w="120"/>
              <w:bottom w:type="dxa" w:w="80"/>
              <w:right w:type="dxa" w:w="120"/>
            </w:tcMar>
          </w:tcPr>
          <w:p>
            <w:pPr>
              <w:spacing w:after="20" w:before="20" w:line="252"/>
              <w:jc w:val="left"/>
            </w:pPr>
            <w:r>
              <w:rPr>
                <w:rFonts w:ascii="Helvetica Neue" w:cs="Helvetica Neue" w:eastAsia="Helvetica Neue" w:hAnsi="Helvetica Neue"/>
                <w:b w:val="false"/>
                <w:bCs w:val="false"/>
                <w:color w:val="333333"/>
                <w:sz w:val="20"/>
                <w:szCs w:val="20"/>
              </w:rPr>
              <w:t xml:space="preserve">Regular expressions, pattern matching and structural scoring only. No model, no training, no learned parameters — the weights are assigned by hand and documented.</w:t>
            </w:r>
          </w:p>
        </w:tc>
      </w:tr>
      <w:tr>
        <w:tc>
          <w:tcPr>
            <w:tcW w:type="dxa" w:w="2900"/>
            <w:tcBorders>
              <w:top w:val="none" w:color="FFFFFF" w:sz="0"/>
              <w:left w:val="none" w:color="FFFFFF" w:sz="0"/>
              <w:bottom w:val="single" w:color="CCCCCC" w:sz="1"/>
              <w:right w:val="none" w:color="FFFFFF" w:sz="0"/>
            </w:tcBorders>
            <w:tcMar>
              <w:top w:type="dxa" w:w="80"/>
              <w:left w:type="dxa" w:w="120"/>
              <w:bottom w:type="dxa" w:w="80"/>
              <w:right w:type="dxa" w:w="120"/>
            </w:tcMar>
          </w:tcPr>
          <w:p>
            <w:pPr>
              <w:spacing w:after="20" w:before="20" w:line="252"/>
              <w:jc w:val="left"/>
            </w:pPr>
            <w:r>
              <w:rPr>
                <w:rFonts w:ascii="Helvetica Neue" w:cs="Helvetica Neue" w:eastAsia="Helvetica Neue" w:hAnsi="Helvetica Neue"/>
                <w:b w:val="false"/>
                <w:bCs w:val="false"/>
                <w:color w:val="333333"/>
                <w:sz w:val="20"/>
                <w:szCs w:val="20"/>
              </w:rPr>
              <w:t xml:space="preserve">CPU-only; no runtime cloud-inference dependency</w:t>
            </w:r>
          </w:p>
        </w:tc>
        <w:tc>
          <w:tcPr>
            <w:tcW w:type="dxa" w:w="5740"/>
            <w:tcBorders>
              <w:top w:val="none" w:color="FFFFFF" w:sz="0"/>
              <w:left w:val="none" w:color="FFFFFF" w:sz="0"/>
              <w:bottom w:val="single" w:color="CCCCCC" w:sz="1"/>
              <w:right w:val="none" w:color="FFFFFF" w:sz="0"/>
            </w:tcBorders>
            <w:tcMar>
              <w:top w:type="dxa" w:w="80"/>
              <w:left w:type="dxa" w:w="120"/>
              <w:bottom w:type="dxa" w:w="80"/>
              <w:right w:type="dxa" w:w="120"/>
            </w:tcMar>
          </w:tcPr>
          <w:p>
            <w:pPr>
              <w:spacing w:after="20" w:before="20" w:line="252"/>
              <w:jc w:val="left"/>
            </w:pPr>
            <w:r>
              <w:rPr>
                <w:rFonts w:ascii="Helvetica Neue" w:cs="Helvetica Neue" w:eastAsia="Helvetica Neue" w:hAnsi="Helvetica Neue"/>
                <w:b w:val="false"/>
                <w:bCs w:val="false"/>
                <w:color w:val="333333"/>
                <w:sz w:val="20"/>
                <w:szCs w:val="20"/>
              </w:rPr>
              <w:t xml:space="preserve">The detector uses the Python standard library alone. It adds no dependency to the service and makes no network call.</w:t>
            </w:r>
          </w:p>
        </w:tc>
      </w:tr>
      <w:tr>
        <w:tc>
          <w:tcPr>
            <w:tcW w:type="dxa" w:w="2900"/>
            <w:tcBorders>
              <w:top w:val="none" w:color="FFFFFF" w:sz="0"/>
              <w:left w:val="none" w:color="FFFFFF" w:sz="0"/>
              <w:bottom w:val="single" w:color="CCCCCC" w:sz="1"/>
              <w:right w:val="none" w:color="FFFFFF" w:sz="0"/>
            </w:tcBorders>
            <w:tcMar>
              <w:top w:type="dxa" w:w="80"/>
              <w:left w:type="dxa" w:w="120"/>
              <w:bottom w:type="dxa" w:w="80"/>
              <w:right w:type="dxa" w:w="120"/>
            </w:tcMar>
          </w:tcPr>
          <w:p>
            <w:pPr>
              <w:spacing w:after="20" w:before="20" w:line="252"/>
              <w:jc w:val="left"/>
            </w:pPr>
            <w:r>
              <w:rPr>
                <w:rFonts w:ascii="Helvetica Neue" w:cs="Helvetica Neue" w:eastAsia="Helvetica Neue" w:hAnsi="Helvetica Neue"/>
                <w:b w:val="false"/>
                <w:bCs w:val="false"/>
                <w:color w:val="333333"/>
                <w:sz w:val="20"/>
                <w:szCs w:val="20"/>
              </w:rPr>
              <w:t xml:space="preserve">Roughly 350 words per document</w:t>
            </w:r>
          </w:p>
        </w:tc>
        <w:tc>
          <w:tcPr>
            <w:tcW w:type="dxa" w:w="5740"/>
            <w:tcBorders>
              <w:top w:val="none" w:color="FFFFFF" w:sz="0"/>
              <w:left w:val="none" w:color="FFFFFF" w:sz="0"/>
              <w:bottom w:val="single" w:color="CCCCCC" w:sz="1"/>
              <w:right w:val="none" w:color="FFFFFF" w:sz="0"/>
            </w:tcBorders>
            <w:tcMar>
              <w:top w:type="dxa" w:w="80"/>
              <w:left w:type="dxa" w:w="120"/>
              <w:bottom w:type="dxa" w:w="80"/>
              <w:right w:type="dxa" w:w="120"/>
            </w:tcMar>
          </w:tcPr>
          <w:p>
            <w:pPr>
              <w:spacing w:after="20" w:before="20" w:line="252"/>
              <w:jc w:val="left"/>
            </w:pPr>
            <w:r>
              <w:rPr>
                <w:rFonts w:ascii="Helvetica Neue" w:cs="Helvetica Neue" w:eastAsia="Helvetica Neue" w:hAnsi="Helvetica Neue"/>
                <w:b w:val="false"/>
                <w:bCs w:val="false"/>
                <w:color w:val="333333"/>
                <w:sz w:val="20"/>
                <w:szCs w:val="20"/>
              </w:rPr>
              <w:t xml:space="preserve">Unchanged. Stage 1 scans the full text regardless: regular expressions are cheap, and there is no reason to blind the pre-filter to the end of a document.</w:t>
            </w:r>
          </w:p>
        </w:tc>
      </w:tr>
      <w:tr>
        <w:tc>
          <w:tcPr>
            <w:tcW w:type="dxa" w:w="2900"/>
            <w:tcBorders>
              <w:top w:val="none" w:color="FFFFFF" w:sz="0"/>
              <w:left w:val="none" w:color="FFFFFF" w:sz="0"/>
              <w:bottom w:val="single" w:color="CCCCCC" w:sz="1"/>
              <w:right w:val="none" w:color="FFFFFF" w:sz="0"/>
            </w:tcBorders>
            <w:tcMar>
              <w:top w:type="dxa" w:w="80"/>
              <w:left w:type="dxa" w:w="120"/>
              <w:bottom w:type="dxa" w:w="80"/>
              <w:right w:type="dxa" w:w="120"/>
            </w:tcMar>
          </w:tcPr>
          <w:p>
            <w:pPr>
              <w:spacing w:after="20" w:before="20" w:line="252"/>
              <w:jc w:val="left"/>
            </w:pPr>
            <w:r>
              <w:rPr>
                <w:rFonts w:ascii="Helvetica Neue" w:cs="Helvetica Neue" w:eastAsia="Helvetica Neue" w:hAnsi="Helvetica Neue"/>
                <w:b w:val="false"/>
                <w:bCs w:val="false"/>
                <w:color w:val="333333"/>
                <w:sz w:val="20"/>
                <w:szCs w:val="20"/>
              </w:rPr>
              <w:t xml:space="preserve">English-language documents only</w:t>
            </w:r>
          </w:p>
        </w:tc>
        <w:tc>
          <w:tcPr>
            <w:tcW w:type="dxa" w:w="5740"/>
            <w:tcBorders>
              <w:top w:val="none" w:color="FFFFFF" w:sz="0"/>
              <w:left w:val="none" w:color="FFFFFF" w:sz="0"/>
              <w:bottom w:val="single" w:color="CCCCCC" w:sz="1"/>
              <w:right w:val="none" w:color="FFFFFF" w:sz="0"/>
            </w:tcBorders>
            <w:tcMar>
              <w:top w:type="dxa" w:w="80"/>
              <w:left w:type="dxa" w:w="120"/>
              <w:bottom w:type="dxa" w:w="80"/>
              <w:right w:type="dxa" w:w="120"/>
            </w:tcMar>
          </w:tcPr>
          <w:p>
            <w:pPr>
              <w:spacing w:after="20" w:before="20" w:line="252"/>
              <w:jc w:val="left"/>
            </w:pPr>
            <w:r>
              <w:rPr>
                <w:rFonts w:ascii="Helvetica Neue" w:cs="Helvetica Neue" w:eastAsia="Helvetica Neue" w:hAnsi="Helvetica Neue"/>
                <w:b w:val="false"/>
                <w:bCs w:val="false"/>
                <w:color w:val="333333"/>
                <w:sz w:val="20"/>
                <w:szCs w:val="20"/>
              </w:rPr>
              <w:t xml:space="preserve">The rules are written against English phrasing, and this is stated as a limitation rather than implied to generalise.</w:t>
            </w:r>
          </w:p>
        </w:tc>
      </w:tr>
      <w:tr>
        <w:tc>
          <w:tcPr>
            <w:tcW w:type="dxa" w:w="2900"/>
            <w:tcBorders>
              <w:top w:val="none" w:color="FFFFFF" w:sz="0"/>
              <w:left w:val="none" w:color="FFFFFF" w:sz="0"/>
              <w:bottom w:val="single" w:color="CCCCCC" w:sz="1"/>
              <w:right w:val="none" w:color="FFFFFF" w:sz="0"/>
            </w:tcBorders>
            <w:tcMar>
              <w:top w:type="dxa" w:w="80"/>
              <w:left w:type="dxa" w:w="120"/>
              <w:bottom w:type="dxa" w:w="80"/>
              <w:right w:type="dxa" w:w="120"/>
            </w:tcMar>
          </w:tcPr>
          <w:p>
            <w:pPr>
              <w:spacing w:after="20" w:before="20" w:line="252"/>
              <w:jc w:val="left"/>
            </w:pPr>
            <w:r>
              <w:rPr>
                <w:rFonts w:ascii="Helvetica Neue" w:cs="Helvetica Neue" w:eastAsia="Helvetica Neue" w:hAnsi="Helvetica Neue"/>
                <w:b w:val="false"/>
                <w:bCs w:val="false"/>
                <w:color w:val="333333"/>
                <w:sz w:val="20"/>
                <w:szCs w:val="20"/>
              </w:rPr>
              <w:t xml:space="preserve">Both stages behind a single endpoint</w:t>
            </w:r>
          </w:p>
        </w:tc>
        <w:tc>
          <w:tcPr>
            <w:tcW w:type="dxa" w:w="5740"/>
            <w:tcBorders>
              <w:top w:val="none" w:color="FFFFFF" w:sz="0"/>
              <w:left w:val="none" w:color="FFFFFF" w:sz="0"/>
              <w:bottom w:val="single" w:color="CCCCCC" w:sz="1"/>
              <w:right w:val="none" w:color="FFFFFF" w:sz="0"/>
            </w:tcBorders>
            <w:tcMar>
              <w:top w:type="dxa" w:w="80"/>
              <w:left w:type="dxa" w:w="120"/>
              <w:bottom w:type="dxa" w:w="80"/>
              <w:right w:type="dxa" w:w="120"/>
            </w:tcMar>
          </w:tcPr>
          <w:p>
            <w:pPr>
              <w:spacing w:after="20" w:before="20" w:line="252"/>
              <w:jc w:val="left"/>
            </w:pPr>
            <w:r>
              <w:rPr>
                <w:rFonts w:ascii="Helvetica Neue" w:cs="Helvetica Neue" w:eastAsia="Helvetica Neue" w:hAnsi="Helvetica Neue"/>
                <w:b w:val="false"/>
                <w:bCs w:val="false"/>
                <w:color w:val="333333"/>
                <w:sz w:val="20"/>
                <w:szCs w:val="20"/>
              </w:rPr>
              <w:t xml:space="preserve">Preserved. Stage 1 populates the stage_1 field of the existing response shape when Phase 5 wires it in; no new route is added.</w:t>
            </w:r>
          </w:p>
        </w:tc>
      </w:tr>
      <w:tr>
        <w:tc>
          <w:tcPr>
            <w:tcW w:type="dxa" w:w="2900"/>
            <w:tcBorders>
              <w:top w:val="none" w:color="FFFFFF" w:sz="0"/>
              <w:left w:val="none" w:color="FFFFFF" w:sz="0"/>
              <w:bottom w:val="single" w:color="CCCCCC" w:sz="1"/>
              <w:right w:val="none" w:color="FFFFFF" w:sz="0"/>
            </w:tcBorders>
            <w:tcMar>
              <w:top w:type="dxa" w:w="80"/>
              <w:left w:type="dxa" w:w="120"/>
              <w:bottom w:type="dxa" w:w="80"/>
              <w:right w:type="dxa" w:w="120"/>
            </w:tcMar>
          </w:tcPr>
          <w:p>
            <w:pPr>
              <w:spacing w:after="20" w:before="20" w:line="252"/>
              <w:jc w:val="left"/>
            </w:pPr>
            <w:r>
              <w:rPr>
                <w:rFonts w:ascii="Helvetica Neue" w:cs="Helvetica Neue" w:eastAsia="Helvetica Neue" w:hAnsi="Helvetica Neue"/>
                <w:b w:val="false"/>
                <w:bCs w:val="false"/>
                <w:color w:val="333333"/>
                <w:sz w:val="20"/>
                <w:szCs w:val="20"/>
              </w:rPr>
              <w:t xml:space="preserve">No dual-LLM or judge model</w:t>
            </w:r>
          </w:p>
        </w:tc>
        <w:tc>
          <w:tcPr>
            <w:tcW w:type="dxa" w:w="5740"/>
            <w:tcBorders>
              <w:top w:val="none" w:color="FFFFFF" w:sz="0"/>
              <w:left w:val="none" w:color="FFFFFF" w:sz="0"/>
              <w:bottom w:val="single" w:color="CCCCCC" w:sz="1"/>
              <w:right w:val="none" w:color="FFFFFF" w:sz="0"/>
            </w:tcBorders>
            <w:tcMar>
              <w:top w:type="dxa" w:w="80"/>
              <w:left w:type="dxa" w:w="120"/>
              <w:bottom w:type="dxa" w:w="80"/>
              <w:right w:type="dxa" w:w="120"/>
            </w:tcMar>
          </w:tcPr>
          <w:p>
            <w:pPr>
              <w:spacing w:after="20" w:before="20" w:line="252"/>
              <w:jc w:val="left"/>
            </w:pPr>
            <w:r>
              <w:rPr>
                <w:rFonts w:ascii="Helvetica Neue" w:cs="Helvetica Neue" w:eastAsia="Helvetica Neue" w:hAnsi="Helvetica Neue"/>
                <w:b w:val="false"/>
                <w:bCs w:val="false"/>
                <w:color w:val="333333"/>
                <w:sz w:val="20"/>
                <w:szCs w:val="20"/>
              </w:rPr>
              <w:t xml:space="preserve">Stage 1 is a rule set. No model participates in this phase at all.</w:t>
            </w:r>
          </w:p>
        </w:tc>
      </w:tr>
      <w:tr>
        <w:tc>
          <w:tcPr>
            <w:tcW w:type="dxa" w:w="2900"/>
            <w:tcBorders>
              <w:top w:val="none" w:color="FFFFFF" w:sz="0"/>
              <w:left w:val="none" w:color="FFFFFF" w:sz="0"/>
              <w:bottom w:val="single" w:color="CCCCCC" w:sz="1"/>
              <w:right w:val="none" w:color="FFFFFF" w:sz="0"/>
            </w:tcBorders>
            <w:tcMar>
              <w:top w:type="dxa" w:w="80"/>
              <w:left w:type="dxa" w:w="120"/>
              <w:bottom w:type="dxa" w:w="80"/>
              <w:right w:type="dxa" w:w="120"/>
            </w:tcMar>
          </w:tcPr>
          <w:p>
            <w:pPr>
              <w:spacing w:after="20" w:before="20" w:line="252"/>
              <w:jc w:val="left"/>
            </w:pPr>
            <w:r>
              <w:rPr>
                <w:rFonts w:ascii="Helvetica Neue" w:cs="Helvetica Neue" w:eastAsia="Helvetica Neue" w:hAnsi="Helvetica Neue"/>
                <w:b w:val="false"/>
                <w:bCs w:val="false"/>
                <w:color w:val="333333"/>
                <w:sz w:val="20"/>
                <w:szCs w:val="20"/>
              </w:rPr>
              <w:t xml:space="preserve">No agentic orchestration</w:t>
            </w:r>
          </w:p>
        </w:tc>
        <w:tc>
          <w:tcPr>
            <w:tcW w:type="dxa" w:w="5740"/>
            <w:tcBorders>
              <w:top w:val="none" w:color="FFFFFF" w:sz="0"/>
              <w:left w:val="none" w:color="FFFFFF" w:sz="0"/>
              <w:bottom w:val="single" w:color="CCCCCC" w:sz="1"/>
              <w:right w:val="none" w:color="FFFFFF" w:sz="0"/>
            </w:tcBorders>
            <w:tcMar>
              <w:top w:type="dxa" w:w="80"/>
              <w:left w:type="dxa" w:w="120"/>
              <w:bottom w:type="dxa" w:w="80"/>
              <w:right w:type="dxa" w:w="120"/>
            </w:tcMar>
          </w:tcPr>
          <w:p>
            <w:pPr>
              <w:spacing w:after="20" w:before="20" w:line="252"/>
              <w:jc w:val="left"/>
            </w:pPr>
            <w:r>
              <w:rPr>
                <w:rFonts w:ascii="Helvetica Neue" w:cs="Helvetica Neue" w:eastAsia="Helvetica Neue" w:hAnsi="Helvetica Neue"/>
                <w:b w:val="false"/>
                <w:bCs w:val="false"/>
                <w:color w:val="333333"/>
                <w:sz w:val="20"/>
                <w:szCs w:val="20"/>
              </w:rPr>
              <w:t xml:space="preserve">The detector is a pure function from a document to a score.</w:t>
            </w:r>
          </w:p>
        </w:tc>
      </w:tr>
      <w:tr>
        <w:tc>
          <w:tcPr>
            <w:tcW w:type="dxa" w:w="2900"/>
            <w:tcBorders>
              <w:top w:val="none" w:color="FFFFFF" w:sz="0"/>
              <w:left w:val="none" w:color="FFFFFF" w:sz="0"/>
              <w:bottom w:val="none" w:color="FFFFFF" w:sz="0"/>
              <w:right w:val="none" w:color="FFFFFF" w:sz="0"/>
            </w:tcBorders>
            <w:tcMar>
              <w:top w:type="dxa" w:w="80"/>
              <w:left w:type="dxa" w:w="120"/>
              <w:bottom w:type="dxa" w:w="80"/>
              <w:right w:type="dxa" w:w="120"/>
            </w:tcMar>
          </w:tcPr>
          <w:p>
            <w:pPr>
              <w:spacing w:after="20" w:before="20" w:line="252"/>
              <w:jc w:val="left"/>
            </w:pPr>
            <w:r>
              <w:rPr>
                <w:rFonts w:ascii="Helvetica Neue" w:cs="Helvetica Neue" w:eastAsia="Helvetica Neue" w:hAnsi="Helvetica Neue"/>
                <w:b w:val="false"/>
                <w:bCs w:val="false"/>
                <w:color w:val="333333"/>
                <w:sz w:val="20"/>
                <w:szCs w:val="20"/>
              </w:rPr>
              <w:t xml:space="preserve">Fast-reject not yet decided</w:t>
            </w:r>
          </w:p>
        </w:tc>
        <w:tc>
          <w:tcPr>
            <w:tcW w:type="dxa" w:w="5740"/>
            <w:tcBorders>
              <w:top w:val="none" w:color="FFFFFF" w:sz="0"/>
              <w:left w:val="none" w:color="FFFFFF" w:sz="0"/>
              <w:bottom w:val="none" w:color="FFFFFF" w:sz="0"/>
              <w:right w:val="none" w:color="FFFFFF" w:sz="0"/>
            </w:tcBorders>
            <w:tcMar>
              <w:top w:type="dxa" w:w="80"/>
              <w:left w:type="dxa" w:w="120"/>
              <w:bottom w:type="dxa" w:w="80"/>
              <w:right w:type="dxa" w:w="120"/>
            </w:tcMar>
          </w:tcPr>
          <w:p>
            <w:pPr>
              <w:spacing w:after="20" w:before="20" w:line="252"/>
              <w:jc w:val="left"/>
            </w:pPr>
            <w:r>
              <w:rPr>
                <w:rFonts w:ascii="Helvetica Neue" w:cs="Helvetica Neue" w:eastAsia="Helvetica Neue" w:hAnsi="Helvetica Neue"/>
                <w:b w:val="false"/>
                <w:bCs w:val="false"/>
                <w:color w:val="333333"/>
                <w:sz w:val="20"/>
                <w:szCs w:val="20"/>
              </w:rPr>
              <w:t xml:space="preserve">No fast-reject path is built. Phase 3 produces the evidence and a recommendation; the decision and its justification are recorded before anything is wired.</w:t>
            </w:r>
          </w:p>
        </w:tc>
      </w:tr>
    </w:tbl>
    <w:sectPr>
      <w:headerReference w:type="default" r:id="rId7"/>
      <w:footerReference w:type="default" r:id="rId8"/>
      <w:pgSz w:w="12240" w:h="15840" w:orient="portrait"/>
      <w:pgMar w:top="1440" w:right="180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0" w:line="240"/>
      <w:jc w:val="right"/>
    </w:pPr>
    <w:r>
      <w:rPr>
        <w:rFonts w:ascii="Helvetica Neue" w:cs="Helvetica Neue" w:eastAsia="Helvetica Neue" w:hAnsi="Helvetica Neue"/>
        <w:color w:val="333333"/>
        <w:sz w:val="18"/>
        <w:szCs w:val="18"/>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line="240"/>
      <w:jc w:val="left"/>
    </w:pPr>
    <w:r>
      <w:rPr>
        <w:rFonts w:ascii="Helvetica Neue" w:cs="Helvetica Neue" w:eastAsia="Helvetica Neue" w:hAnsi="Helvetica Neue"/>
        <w:color w:val="333333"/>
        <w:sz w:val="18"/>
        <w:szCs w:val="18"/>
      </w:rPr>
      <w:t xml:space="preserve">AI Prompt Firewall — Phase 3 Specification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360"/>
      </w:pPr>
    </w:lvl>
    <w:lvl w:ilvl="1"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36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Helvetica Neue" w:cs="Helvetica Neue" w:eastAsia="Helvetica Neue" w:hAnsi="Helvetica Neue"/>
        <w:color w:val="3333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line="240"/>
      <w:jc w:val="left"/>
      <w:outlineLvl w:val="0"/>
    </w:pPr>
    <w:rPr>
      <w:rFonts w:ascii="Helvetica Neue" w:cs="Helvetica Neue" w:eastAsia="Helvetica Neue" w:hAnsi="Helvetica Neue"/>
      <w:b/>
      <w:bCs/>
      <w:color w:val="000000"/>
      <w:sz w:val="36"/>
      <w:szCs w:val="36"/>
    </w:rPr>
  </w:style>
  <w:style w:type="paragraph" w:styleId="Heading2">
    <w:name w:val="Heading 2"/>
    <w:basedOn w:val="Normal"/>
    <w:next w:val="Normal"/>
    <w:qFormat/>
    <w:pPr>
      <w:spacing w:after="80" w:before="240" w:line="240"/>
      <w:jc w:val="left"/>
      <w:outlineLvl w:val="1"/>
    </w:pPr>
    <w:rPr>
      <w:rFonts w:ascii="Helvetica Neue" w:cs="Helvetica Neue" w:eastAsia="Helvetica Neue" w:hAnsi="Helvetica Neue"/>
      <w:b/>
      <w:bCs/>
      <w:color w:val="000000"/>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Prompt Firewall — Phase 3 Specification</dc:title>
  <dc:creator>Kamaludeen Abdulkadir</dc:creator>
  <dc:description>Stage 1 heuristic pre-filter</dc:description>
  <cp:lastModifiedBy>Un-named</cp:lastModifiedBy>
  <cp:revision>1</cp:revision>
  <dcterms:created xsi:type="dcterms:W3CDTF">2026-09-09T22:23:38.015Z</dcterms:created>
  <dcterms:modified xsi:type="dcterms:W3CDTF">2026-09-09T22:23:38.015Z</dcterms:modified>
</cp:coreProperties>
</file>

<file path=docProps/custom.xml><?xml version="1.0" encoding="utf-8"?>
<Properties xmlns="http://schemas.openxmlformats.org/officeDocument/2006/custom-properties" xmlns:vt="http://schemas.openxmlformats.org/officeDocument/2006/docPropsVTypes"/>
</file>