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jc w:val="left"/>
      </w:pPr>
      <w:r>
        <w:rPr>
          <w:rFonts w:ascii="Helvetica Neue" w:cs="Helvetica Neue" w:eastAsia="Helvetica Neue" w:hAnsi="Helvetica Neue"/>
          <w:b/>
          <w:bCs/>
          <w:color w:val="000000"/>
          <w:sz w:val="48"/>
          <w:szCs w:val="48"/>
        </w:rPr>
        <w:t xml:space="preserve">AI Prompt Firewall — Phase 1 Specification</w:t>
      </w:r>
    </w:p>
    <w:p>
      <w:pPr>
        <w:spacing w:after="40" w:before="0" w:line="260"/>
        <w:jc w:val="left"/>
      </w:pPr>
      <w:r>
        <w:rPr>
          <w:rFonts w:ascii="Helvetica Neue" w:cs="Helvetica Neue" w:eastAsia="Helvetica Neue" w:hAnsi="Helvetica Neue"/>
          <w:color w:val="333333"/>
          <w:sz w:val="24"/>
          <w:szCs w:val="24"/>
        </w:rPr>
        <w:t xml:space="preserve">FastAPI service skeleton and API contract</w:t>
      </w:r>
    </w:p>
    <w:p>
      <w:pPr>
        <w:spacing w:after="0" w:before="0" w:line="260"/>
        <w:jc w:val="left"/>
      </w:pPr>
      <w:r>
        <w:rPr>
          <w:rFonts w:ascii="Helvetica Neue" w:cs="Helvetica Neue" w:eastAsia="Helvetica Neue" w:hAnsi="Helvetica Neue"/>
          <w:color w:val="333333"/>
          <w:sz w:val="20"/>
          <w:szCs w:val="20"/>
        </w:rPr>
        <w:t xml:space="preserve">Indirect prompt-injection classifier for RAG document ingestion</w:t>
      </w:r>
    </w:p>
    <w:p>
      <w:pPr>
        <w:spacing w:after="0" w:before="0" w:line="260"/>
        <w:jc w:val="left"/>
      </w:pPr>
      <w:r>
        <w:rPr>
          <w:rFonts w:ascii="Helvetica Neue" w:cs="Helvetica Neue" w:eastAsia="Helvetica Neue" w:hAnsi="Helvetica Neue"/>
          <w:color w:val="333333"/>
          <w:sz w:val="20"/>
          <w:szCs w:val="20"/>
        </w:rPr>
        <w:t xml:space="preserve">Final-year BSc Cybersecurity thesis — Bayero University Kano</w:t>
      </w:r>
    </w:p>
    <w:p>
      <w:pPr>
        <w:spacing w:after="320" w:before="0" w:line="260"/>
        <w:jc w:val="left"/>
      </w:pPr>
      <w:r>
        <w:rPr>
          <w:rFonts w:ascii="Helvetica Neue" w:cs="Helvetica Neue" w:eastAsia="Helvetica Neue" w:hAnsi="Helvetica Neue"/>
          <w:color w:val="333333"/>
          <w:sz w:val="20"/>
          <w:szCs w:val="20"/>
        </w:rPr>
        <w:t xml:space="preserve">Kamaludeen Abdulkadir — CST/22/CBS/00753</w:t>
      </w:r>
    </w:p>
    <w:p>
      <w:pPr>
        <w:spacing w:after="120" w:before="120" w:line="276"/>
        <w:jc w:val="both"/>
      </w:pPr>
      <w:r>
        <w:rPr>
          <w:rFonts w:ascii="Helvetica Neue" w:cs="Helvetica Neue" w:eastAsia="Helvetica Neue" w:hAnsi="Helvetica Neue"/>
          <w:i w:val="false"/>
          <w:iCs w:val="false"/>
          <w:color w:val="333333"/>
          <w:sz w:val="22"/>
          <w:szCs w:val="22"/>
        </w:rPr>
        <w:t xml:space="preserve">This document specifies Phase 1 of the AI Prompt Firewall build: the FastAPI service skeleton and the API contract that Phases 3, 5 and 6 are written against. It records the four design decisions taken, the reasoning behind each, and the questions deliberately left open. No detection logic is specified or built in this phase.</w:t>
      </w:r>
    </w:p>
    <w:p>
      <w:pPr>
        <w:pStyle w:val="Heading1"/>
        <w:spacing w:after="120" w:before="360" w:line="240"/>
        <w:jc w:val="left"/>
      </w:pPr>
      <w:r>
        <w:rPr>
          <w:rFonts w:ascii="Helvetica Neue" w:cs="Helvetica Neue" w:eastAsia="Helvetica Neue" w:hAnsi="Helvetica Neue"/>
          <w:b/>
          <w:bCs/>
          <w:color w:val="000000"/>
          <w:sz w:val="36"/>
          <w:szCs w:val="36"/>
        </w:rPr>
        <w:t xml:space="preserve">1. Scope of Phase 1</w:t>
      </w:r>
    </w:p>
    <w:p>
      <w:pPr>
        <w:pStyle w:val="Heading2"/>
        <w:spacing w:after="80" w:before="240" w:line="240"/>
        <w:jc w:val="left"/>
      </w:pPr>
      <w:r>
        <w:rPr>
          <w:rFonts w:ascii="Helvetica Neue" w:cs="Helvetica Neue" w:eastAsia="Helvetica Neue" w:hAnsi="Helvetica Neue"/>
          <w:b/>
          <w:bCs/>
          <w:color w:val="000000"/>
          <w:sz w:val="28"/>
          <w:szCs w:val="28"/>
        </w:rPr>
        <w:t xml:space="preserve">1.1 In scope</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A runnable FastAPI application with no model dependency and no network calls at runtime.</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A health-check endpoint that reports which detection stages are actually wired.</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A placeholder scan endpoint that validates input, counts words, and returns a clearly labelled stub result.</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Pydantic request and response models that fix the API contract for the later phases.</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Dependency management with pinned versions, so the environment can be reproduced by a third party.</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A pytest smoke suite covering the endpoints and the input-validation rules.</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A README covering local setup and CPU-only execution.</w:t>
      </w:r>
    </w:p>
    <w:p>
      <w:pPr>
        <w:pStyle w:val="Heading2"/>
        <w:spacing w:after="80" w:before="240" w:line="240"/>
        <w:jc w:val="left"/>
      </w:pPr>
      <w:r>
        <w:rPr>
          <w:rFonts w:ascii="Helvetica Neue" w:cs="Helvetica Neue" w:eastAsia="Helvetica Neue" w:hAnsi="Helvetica Neue"/>
          <w:b/>
          <w:bCs/>
          <w:color w:val="000000"/>
          <w:sz w:val="28"/>
          <w:szCs w:val="28"/>
        </w:rPr>
        <w:t xml:space="preserve">1.2 Not in scope</w:t>
      </w:r>
    </w:p>
    <w:p>
      <w:pPr>
        <w:spacing w:after="120" w:before="120" w:line="276"/>
        <w:jc w:val="both"/>
      </w:pPr>
      <w:r>
        <w:rPr>
          <w:rFonts w:ascii="Helvetica Neue" w:cs="Helvetica Neue" w:eastAsia="Helvetica Neue" w:hAnsi="Helvetica Neue"/>
          <w:i w:val="false"/>
          <w:iCs w:val="false"/>
          <w:color w:val="333333"/>
          <w:sz w:val="22"/>
          <w:szCs w:val="22"/>
        </w:rPr>
        <w:t xml:space="preserve">The distinction below matters for the implementation chapter: some items are merely later work, while others are excluded by design and are not to be built at any phase.</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5040"/>
        <w:gridCol w:w="3600"/>
      </w:tblGrid>
      <w:tr>
        <w:trPr>
          <w:tblHeader/>
        </w:trPr>
        <w:tc>
          <w:tcPr>
            <w:tcW w:type="dxa" w:w="50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Item</w:t>
            </w:r>
          </w:p>
        </w:tc>
        <w:tc>
          <w:tcPr>
            <w:tcW w:type="dxa" w:w="36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Status</w:t>
            </w:r>
          </w:p>
        </w:tc>
      </w:tr>
      <w:tr>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Stage 1 heuristic pre-filter</w:t>
            </w:r>
          </w:p>
        </w:tc>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Phase 3</w:t>
            </w:r>
          </w:p>
        </w:tc>
      </w:tr>
      <w:tr>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Stage 2 transformer classifier — fine-tuning</w:t>
            </w:r>
          </w:p>
        </w:tc>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Phase 4 (Google Colab, off-repo)</w:t>
            </w:r>
          </w:p>
        </w:tc>
      </w:tr>
      <w:tr>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Stage 2 deployment and two-stage wiring</w:t>
            </w:r>
          </w:p>
        </w:tc>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Phase 5</w:t>
            </w:r>
          </w:p>
        </w:tc>
      </w:tr>
      <w:tr>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Evaluation harness and Rebuff benchmark</w:t>
            </w:r>
          </w:p>
        </w:tc>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Phase 6</w:t>
            </w:r>
          </w:p>
        </w:tc>
      </w:tr>
      <w:tr>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Upload-and-scan frontend</w:t>
            </w:r>
          </w:p>
        </w:tc>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Phase 7 (stretch goal)</w:t>
            </w:r>
          </w:p>
        </w:tc>
      </w:tr>
      <w:tr>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Document parsing (PDF, DOCX text extraction)</w:t>
            </w:r>
          </w:p>
        </w:tc>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Excluded — the caller supplies extracted text</w:t>
            </w:r>
          </w:p>
        </w:tc>
      </w:tr>
      <w:tr>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Dual-LLM or judge-model verification</w:t>
            </w:r>
          </w:p>
        </w:tc>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Excluded by design</w:t>
            </w:r>
          </w:p>
        </w:tc>
      </w:tr>
      <w:tr>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Agentic orchestration, sub-agent routing</w:t>
            </w:r>
          </w:p>
        </w:tc>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Excluded by design</w:t>
            </w:r>
          </w:p>
        </w:tc>
      </w:tr>
      <w:tr>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Memory or identity-file poisoning defences</w:t>
            </w:r>
          </w:p>
        </w:tc>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Excluded by design</w:t>
            </w:r>
          </w:p>
        </w:tc>
      </w:tr>
      <w:tr>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Multimodal (image, audio) handling</w:t>
            </w:r>
          </w:p>
        </w:tc>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Excluded by design</w:t>
            </w:r>
          </w:p>
        </w:tc>
      </w:tr>
      <w:tr>
        <w:tc>
          <w:tcPr>
            <w:tcW w:type="dxa" w:w="50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RAG jamming / blocker-document defences</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Excluded by design — different threat class</w:t>
            </w:r>
          </w:p>
        </w:tc>
      </w:tr>
    </w:tbl>
    <w:p>
      <w:pPr>
        <w:pStyle w:val="Heading1"/>
        <w:spacing w:after="120" w:before="360" w:line="240"/>
        <w:jc w:val="left"/>
      </w:pPr>
      <w:r>
        <w:rPr>
          <w:rFonts w:ascii="Helvetica Neue" w:cs="Helvetica Neue" w:eastAsia="Helvetica Neue" w:hAnsi="Helvetica Neue"/>
          <w:b/>
          <w:bCs/>
          <w:color w:val="000000"/>
          <w:sz w:val="36"/>
          <w:szCs w:val="36"/>
        </w:rPr>
        <w:t xml:space="preserve">2. Locked design decisions</w:t>
      </w:r>
    </w:p>
    <w:p>
      <w:pPr>
        <w:spacing w:after="120" w:before="120" w:line="276"/>
        <w:jc w:val="both"/>
      </w:pPr>
      <w:r>
        <w:rPr>
          <w:rFonts w:ascii="Helvetica Neue" w:cs="Helvetica Neue" w:eastAsia="Helvetica Neue" w:hAnsi="Helvetica Neue"/>
          <w:i w:val="false"/>
          <w:iCs w:val="false"/>
          <w:color w:val="333333"/>
          <w:sz w:val="22"/>
          <w:szCs w:val="22"/>
        </w:rPr>
        <w:t xml:space="preserve">Four decisions shape the Phase 1 contract. Each was chosen over named alternatives, and the reasoning is recorded here because each one has consequences for the evaluation chapter.</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1700"/>
        <w:gridCol w:w="2100"/>
        <w:gridCol w:w="4840"/>
      </w:tblGrid>
      <w:tr>
        <w:trPr>
          <w:tblHeader/>
        </w:trPr>
        <w:tc>
          <w:tcPr>
            <w:tcW w:type="dxa" w:w="17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Decision</w:t>
            </w:r>
          </w:p>
        </w:tc>
        <w:tc>
          <w:tcPr>
            <w:tcW w:type="dxa" w:w="21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Choice</w:t>
            </w:r>
          </w:p>
        </w:tc>
        <w:tc>
          <w:tcPr>
            <w:tcW w:type="dxa" w:w="48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Rationale</w:t>
            </w:r>
          </w:p>
        </w:tc>
      </w:tr>
      <w:tr>
        <w:tc>
          <w:tcPr>
            <w:tcW w:type="dxa" w:w="17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D1 — Scan input format</w:t>
            </w:r>
          </w:p>
        </w:tc>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JSON body: text plus a metadata map</w:t>
            </w:r>
          </w:p>
        </w:tc>
        <w:tc>
          <w:tcPr>
            <w:tcW w:type="dxa" w:w="48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Metadata-based payloads placed in a title, author field or alt-text are a Phase 2 detection target. Flattening metadata into a single text field would stop Stage 1 attributing a detection to a metadata field, and would remove per-technique reporting from the evaluation. Document parsing stays with the caller, keeping parser dependencies and their failure modes outside the service.</w:t>
            </w:r>
          </w:p>
        </w:tc>
      </w:tr>
      <w:tr>
        <w:tc>
          <w:tcPr>
            <w:tcW w:type="dxa" w:w="17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D2 — Word-cap enforcement</w:t>
            </w:r>
          </w:p>
        </w:tc>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Accept, flag, and truncate only for Stage 2</w:t>
            </w:r>
          </w:p>
        </w:tc>
        <w:tc>
          <w:tcPr>
            <w:tcW w:type="dxa" w:w="48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Rejecting over-cap documents would produce hard failures in a real pipeline, weakening the runnable-middleware objective. Silent truncation risks a payload beyond the cut-off going undetected and invisible in the metrics. Stage 1 regex is cheap and scans the full text; only the Stage 2 window is truncated, and the response reports word_count and truncated.</w:t>
            </w:r>
          </w:p>
        </w:tc>
      </w:tr>
      <w:tr>
        <w:tc>
          <w:tcPr>
            <w:tcW w:type="dxa" w:w="17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D3 — Response shape</w:t>
            </w:r>
          </w:p>
        </w:tc>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Binary decision, float score, per-stage detail</w:t>
            </w:r>
          </w:p>
        </w:tc>
        <w:tc>
          <w:tcPr>
            <w:tcW w:type="dxa" w:w="48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 binary decision matches the 0/1 dataset labels and the two-label Stage 2 model, and is what a precision and recall comparison against Rebuff requires. A three-way verdict would leave every metric table needing a justification for how the middle class is counted. The float score keeps the decision threshold tunable for false-positive-rate analysis, and per-stage objects let Phase 6 report Stage 1 and Stage 2 latency separately.</w:t>
            </w:r>
          </w:p>
        </w:tc>
      </w:tr>
      <w:tr>
        <w:tc>
          <w:tcPr>
            <w:tcW w:type="dxa" w:w="17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D4 — Dependency management</w:t>
            </w:r>
          </w:p>
        </w:tc>
        <w:tc>
          <w:tcPr>
            <w:tcW w:type="dxa" w:w="21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pyproject.toml with a pinned requirements.txt</w:t>
            </w:r>
          </w:p>
        </w:tc>
        <w:tc>
          <w:tcPr>
            <w:tcW w:type="dxa" w:w="48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pyproject declares the package, so the Phase 3 test suite imports the application modules without path manipulation in a conftest file. requirements.txt pins exact versions, so the graded artifact can be reproduced months later rather than resolving to whatever is current.</w:t>
            </w:r>
          </w:p>
        </w:tc>
      </w:tr>
    </w:tbl>
    <w:p>
      <w:pPr>
        <w:pStyle w:val="Heading1"/>
        <w:spacing w:after="120" w:before="360" w:line="240"/>
        <w:jc w:val="left"/>
      </w:pPr>
      <w:r>
        <w:rPr>
          <w:rFonts w:ascii="Helvetica Neue" w:cs="Helvetica Neue" w:eastAsia="Helvetica Neue" w:hAnsi="Helvetica Neue"/>
          <w:b/>
          <w:bCs/>
          <w:color w:val="000000"/>
          <w:sz w:val="36"/>
          <w:szCs w:val="36"/>
        </w:rPr>
        <w:t xml:space="preserve">3. API contract</w:t>
      </w:r>
    </w:p>
    <w:p>
      <w:pPr>
        <w:pStyle w:val="Heading2"/>
        <w:spacing w:after="80" w:before="240" w:line="240"/>
        <w:jc w:val="left"/>
      </w:pPr>
      <w:r>
        <w:rPr>
          <w:rFonts w:ascii="Helvetica Neue" w:cs="Helvetica Neue" w:eastAsia="Helvetica Neue" w:hAnsi="Helvetica Neue"/>
          <w:b/>
          <w:bCs/>
          <w:color w:val="000000"/>
          <w:sz w:val="28"/>
          <w:szCs w:val="28"/>
        </w:rPr>
        <w:t xml:space="preserve">3.1 GET /health</w:t>
      </w:r>
    </w:p>
    <w:p>
      <w:pPr>
        <w:spacing w:after="120" w:before="120" w:line="276"/>
        <w:jc w:val="both"/>
      </w:pPr>
      <w:r>
        <w:rPr>
          <w:rFonts w:ascii="Helvetica Neue" w:cs="Helvetica Neue" w:eastAsia="Helvetica Neue" w:hAnsi="Helvetica Neue"/>
          <w:i w:val="false"/>
          <w:iCs w:val="false"/>
          <w:color w:val="333333"/>
          <w:sz w:val="22"/>
          <w:szCs w:val="22"/>
        </w:rPr>
        <w:t xml:space="preserve">The health check reports liveness and, separately, which detection stages are loaded. Both stage flags are false throughout Phases 1 to 3. Reporting them avoids a service that answers "ok" while carrying no detector at all.</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2000"/>
        <w:gridCol w:w="1200"/>
        <w:gridCol w:w="5440"/>
      </w:tblGrid>
      <w:tr>
        <w:trPr>
          <w:tblHeader/>
        </w:trPr>
        <w:tc>
          <w:tcPr>
            <w:tcW w:type="dxa" w:w="20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Field</w:t>
            </w:r>
          </w:p>
        </w:tc>
        <w:tc>
          <w:tcPr>
            <w:tcW w:type="dxa" w:w="12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Type</w:t>
            </w:r>
          </w:p>
        </w:tc>
        <w:tc>
          <w:tcPr>
            <w:tcW w:type="dxa" w:w="54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Meaning</w:t>
            </w:r>
          </w:p>
        </w:tc>
      </w:tr>
      <w:tr>
        <w:tc>
          <w:tcPr>
            <w:tcW w:type="dxa" w:w="2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status</w:t>
            </w:r>
          </w:p>
        </w:tc>
        <w:tc>
          <w:tcPr>
            <w:tcW w:type="dxa" w:w="12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string</w:t>
            </w:r>
          </w:p>
        </w:tc>
        <w:tc>
          <w:tcPr>
            <w:tcW w:type="dxa" w:w="54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Liveness indicator; "ok" when the service is serving.</w:t>
            </w:r>
          </w:p>
        </w:tc>
      </w:tr>
      <w:tr>
        <w:tc>
          <w:tcPr>
            <w:tcW w:type="dxa" w:w="2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version</w:t>
            </w:r>
          </w:p>
        </w:tc>
        <w:tc>
          <w:tcPr>
            <w:tcW w:type="dxa" w:w="12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string</w:t>
            </w:r>
          </w:p>
        </w:tc>
        <w:tc>
          <w:tcPr>
            <w:tcW w:type="dxa" w:w="54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Service version, from a single source in the package metadata.</w:t>
            </w:r>
          </w:p>
        </w:tc>
      </w:tr>
      <w:tr>
        <w:tc>
          <w:tcPr>
            <w:tcW w:type="dxa" w:w="2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stage_1_ready</w:t>
            </w:r>
          </w:p>
        </w:tc>
        <w:tc>
          <w:tcPr>
            <w:tcW w:type="dxa" w:w="12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boolean</w:t>
            </w:r>
          </w:p>
        </w:tc>
        <w:tc>
          <w:tcPr>
            <w:tcW w:type="dxa" w:w="54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Whether the heuristic pre-filter is loaded. False until Phase 3.</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stage_2_ready</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boolean</w:t>
            </w:r>
          </w:p>
        </w:tc>
        <w:tc>
          <w:tcPr>
            <w:tcW w:type="dxa" w:w="54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Whether the transformer classifier is loaded. False until Phase 5.</w:t>
            </w:r>
          </w:p>
        </w:tc>
      </w:tr>
    </w:tbl>
    <w:p>
      <w:pPr>
        <w:pStyle w:val="Heading2"/>
        <w:spacing w:after="80" w:before="240" w:line="240"/>
        <w:jc w:val="left"/>
      </w:pPr>
      <w:r>
        <w:rPr>
          <w:rFonts w:ascii="Helvetica Neue" w:cs="Helvetica Neue" w:eastAsia="Helvetica Neue" w:hAnsi="Helvetica Neue"/>
          <w:b/>
          <w:bCs/>
          <w:color w:val="000000"/>
          <w:sz w:val="28"/>
          <w:szCs w:val="28"/>
        </w:rPr>
        <w:t xml:space="preserve">3.2 POST /v1/scan — request</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1500"/>
        <w:gridCol w:w="1500"/>
        <w:gridCol w:w="900"/>
        <w:gridCol w:w="4740"/>
      </w:tblGrid>
      <w:tr>
        <w:trPr>
          <w:tblHeader/>
        </w:trPr>
        <w:tc>
          <w:tcPr>
            <w:tcW w:type="dxa" w:w="15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Field</w:t>
            </w:r>
          </w:p>
        </w:tc>
        <w:tc>
          <w:tcPr>
            <w:tcW w:type="dxa" w:w="15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Type</w:t>
            </w:r>
          </w:p>
        </w:tc>
        <w:tc>
          <w:tcPr>
            <w:tcW w:type="dxa" w:w="9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Required</w:t>
            </w:r>
          </w:p>
        </w:tc>
        <w:tc>
          <w:tcPr>
            <w:tcW w:type="dxa" w:w="47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Notes</w:t>
            </w:r>
          </w:p>
        </w:tc>
      </w:tr>
      <w:tr>
        <w:tc>
          <w:tcPr>
            <w:tcW w:type="dxa" w:w="1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doc_id</w:t>
            </w:r>
          </w:p>
        </w:tc>
        <w:tc>
          <w:tcPr>
            <w:tcW w:type="dxa" w:w="1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string</w:t>
            </w:r>
          </w:p>
        </w:tc>
        <w:tc>
          <w:tcPr>
            <w:tcW w:type="dxa" w:w="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w:t>
            </w:r>
          </w:p>
        </w:tc>
        <w:tc>
          <w:tcPr>
            <w:tcW w:type="dxa" w:w="47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Caller's identifier, echoed back so a pipeline can correlate results.</w:t>
            </w:r>
          </w:p>
        </w:tc>
      </w:tr>
      <w:tr>
        <w:tc>
          <w:tcPr>
            <w:tcW w:type="dxa" w:w="1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text</w:t>
            </w:r>
          </w:p>
        </w:tc>
        <w:tc>
          <w:tcPr>
            <w:tcW w:type="dxa" w:w="1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string</w:t>
            </w:r>
          </w:p>
        </w:tc>
        <w:tc>
          <w:tcPr>
            <w:tcW w:type="dxa" w:w="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Yes</w:t>
            </w:r>
          </w:p>
        </w:tc>
        <w:tc>
          <w:tcPr>
            <w:tcW w:type="dxa" w:w="47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Extracted document body. Must contain at least one non-whitespace character.</w:t>
            </w:r>
          </w:p>
        </w:tc>
      </w:tr>
      <w:tr>
        <w:tc>
          <w:tcPr>
            <w:tcW w:type="dxa" w:w="15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metadata</w:t>
            </w:r>
          </w:p>
        </w:tc>
        <w:tc>
          <w:tcPr>
            <w:tcW w:type="dxa" w:w="15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map of string to string</w:t>
            </w:r>
          </w:p>
        </w:tc>
        <w:tc>
          <w:tcPr>
            <w:tcW w:type="dxa" w:w="9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w:t>
            </w:r>
          </w:p>
        </w:tc>
        <w:tc>
          <w:tcPr>
            <w:tcW w:type="dxa" w:w="47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Free-form. Title, author, alt-text and similar fields. Left free-form so a new payload-bearing field found during Phase 2 needs no model change.</w:t>
            </w:r>
          </w:p>
        </w:tc>
      </w:tr>
    </w:tbl>
    <w:p>
      <w:pPr>
        <w:spacing w:after="0" w:before="140" w:line="240"/>
        <w:ind w:left="240"/>
        <w:jc w:val="left"/>
      </w:pPr>
      <w:r>
        <w:rPr>
          <w:rFonts w:ascii="Menlo" w:cs="Menlo" w:eastAsia="Menlo" w:hAnsi="Menlo"/>
          <w:color w:val="333333"/>
          <w:sz w:val="19"/>
          <w:szCs w:val="19"/>
        </w:rPr>
        <w:t xml:space="preserve">{</w:t>
      </w:r>
    </w:p>
    <w:p>
      <w:pPr>
        <w:spacing w:after="0" w:before="0" w:line="240"/>
        <w:ind w:left="240"/>
        <w:jc w:val="left"/>
      </w:pPr>
      <w:r>
        <w:rPr>
          <w:rFonts w:ascii="Menlo" w:cs="Menlo" w:eastAsia="Menlo" w:hAnsi="Menlo"/>
          <w:color w:val="333333"/>
          <w:sz w:val="19"/>
          <w:szCs w:val="19"/>
        </w:rPr>
        <w:t xml:space="preserve">  "doc_id": "wiki-4471",</w:t>
      </w:r>
    </w:p>
    <w:p>
      <w:pPr>
        <w:spacing w:after="0" w:before="0" w:line="240"/>
        <w:ind w:left="240"/>
        <w:jc w:val="left"/>
      </w:pPr>
      <w:r>
        <w:rPr>
          <w:rFonts w:ascii="Menlo" w:cs="Menlo" w:eastAsia="Menlo" w:hAnsi="Menlo"/>
          <w:color w:val="333333"/>
          <w:sz w:val="19"/>
          <w:szCs w:val="19"/>
        </w:rPr>
        <w:t xml:space="preserve">  "text": "Quarterly maintenance notes for the ingestion cluster ...",</w:t>
      </w:r>
    </w:p>
    <w:p>
      <w:pPr>
        <w:spacing w:after="0" w:before="0" w:line="240"/>
        <w:ind w:left="240"/>
        <w:jc w:val="left"/>
      </w:pPr>
      <w:r>
        <w:rPr>
          <w:rFonts w:ascii="Menlo" w:cs="Menlo" w:eastAsia="Menlo" w:hAnsi="Menlo"/>
          <w:color w:val="333333"/>
          <w:sz w:val="19"/>
          <w:szCs w:val="19"/>
        </w:rPr>
        <w:t xml:space="preserve">  "metadata": {</w:t>
      </w:r>
    </w:p>
    <w:p>
      <w:pPr>
        <w:spacing w:after="0" w:before="0" w:line="240"/>
        <w:ind w:left="240"/>
        <w:jc w:val="left"/>
      </w:pPr>
      <w:r>
        <w:rPr>
          <w:rFonts w:ascii="Menlo" w:cs="Menlo" w:eastAsia="Menlo" w:hAnsi="Menlo"/>
          <w:color w:val="333333"/>
          <w:sz w:val="19"/>
          <w:szCs w:val="19"/>
        </w:rPr>
        <w:t xml:space="preserve">    "title": "Cluster Runbook",</w:t>
      </w:r>
    </w:p>
    <w:p>
      <w:pPr>
        <w:spacing w:after="0" w:before="0" w:line="240"/>
        <w:ind w:left="240"/>
        <w:jc w:val="left"/>
      </w:pPr>
      <w:r>
        <w:rPr>
          <w:rFonts w:ascii="Menlo" w:cs="Menlo" w:eastAsia="Menlo" w:hAnsi="Menlo"/>
          <w:color w:val="333333"/>
          <w:sz w:val="19"/>
          <w:szCs w:val="19"/>
        </w:rPr>
        <w:t xml:space="preserve">    "author": "platform-team",</w:t>
      </w:r>
    </w:p>
    <w:p>
      <w:pPr>
        <w:spacing w:after="0" w:before="0" w:line="240"/>
        <w:ind w:left="240"/>
        <w:jc w:val="left"/>
      </w:pPr>
      <w:r>
        <w:rPr>
          <w:rFonts w:ascii="Menlo" w:cs="Menlo" w:eastAsia="Menlo" w:hAnsi="Menlo"/>
          <w:color w:val="333333"/>
          <w:sz w:val="19"/>
          <w:szCs w:val="19"/>
        </w:rPr>
        <w:t xml:space="preserve">    "alt_text": ""</w:t>
      </w:r>
    </w:p>
    <w:p>
      <w:pPr>
        <w:spacing w:after="0" w:before="0" w:line="240"/>
        <w:ind w:left="240"/>
        <w:jc w:val="left"/>
      </w:pPr>
      <w:r>
        <w:rPr>
          <w:rFonts w:ascii="Menlo" w:cs="Menlo" w:eastAsia="Menlo" w:hAnsi="Menlo"/>
          <w:color w:val="333333"/>
          <w:sz w:val="19"/>
          <w:szCs w:val="19"/>
        </w:rPr>
        <w:t xml:space="preserve">  }</w:t>
      </w:r>
    </w:p>
    <w:p>
      <w:pPr>
        <w:spacing w:after="140" w:before="0" w:line="240"/>
        <w:ind w:left="240"/>
        <w:jc w:val="left"/>
      </w:pPr>
      <w:r>
        <w:rPr>
          <w:rFonts w:ascii="Menlo" w:cs="Menlo" w:eastAsia="Menlo" w:hAnsi="Menlo"/>
          <w:color w:val="333333"/>
          <w:sz w:val="19"/>
          <w:szCs w:val="19"/>
        </w:rPr>
        <w:t xml:space="preserve">}</w:t>
      </w:r>
    </w:p>
    <w:p>
      <w:pPr>
        <w:pStyle w:val="Heading2"/>
        <w:spacing w:after="80" w:before="240" w:line="240"/>
        <w:jc w:val="left"/>
      </w:pPr>
      <w:r>
        <w:rPr>
          <w:rFonts w:ascii="Helvetica Neue" w:cs="Helvetica Neue" w:eastAsia="Helvetica Neue" w:hAnsi="Helvetica Neue"/>
          <w:b/>
          <w:bCs/>
          <w:color w:val="000000"/>
          <w:sz w:val="28"/>
          <w:szCs w:val="28"/>
        </w:rPr>
        <w:t xml:space="preserve">3.3 POST /v1/scan — response</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1900"/>
        <w:gridCol w:w="1900"/>
        <w:gridCol w:w="4840"/>
      </w:tblGrid>
      <w:tr>
        <w:trPr>
          <w:tblHeader/>
        </w:trPr>
        <w:tc>
          <w:tcPr>
            <w:tcW w:type="dxa" w:w="19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Field</w:t>
            </w:r>
          </w:p>
        </w:tc>
        <w:tc>
          <w:tcPr>
            <w:tcW w:type="dxa" w:w="19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Type</w:t>
            </w:r>
          </w:p>
        </w:tc>
        <w:tc>
          <w:tcPr>
            <w:tcW w:type="dxa" w:w="48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Notes</w:t>
            </w:r>
          </w:p>
        </w:tc>
      </w:tr>
      <w:tr>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doc_id</w:t>
            </w:r>
          </w:p>
        </w:tc>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string or null</w:t>
            </w:r>
          </w:p>
        </w:tc>
        <w:tc>
          <w:tcPr>
            <w:tcW w:type="dxa" w:w="48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Echoed from the request.</w:t>
            </w:r>
          </w:p>
        </w:tc>
      </w:tr>
      <w:tr>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is_injection</w:t>
            </w:r>
          </w:p>
        </w:tc>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boolean</w:t>
            </w:r>
          </w:p>
        </w:tc>
        <w:tc>
          <w:tcPr>
            <w:tcW w:type="dxa" w:w="48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binary decision. Always false in Phase 1.</w:t>
            </w:r>
          </w:p>
        </w:tc>
      </w:tr>
      <w:tr>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score</w:t>
            </w:r>
          </w:p>
        </w:tc>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float, 0.0 to 1.0</w:t>
            </w:r>
          </w:p>
        </w:tc>
        <w:tc>
          <w:tcPr>
            <w:tcW w:type="dxa" w:w="48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Confidence, retained so the decision threshold stays tunable. Always 0.0 in Phase 1.</w:t>
            </w:r>
          </w:p>
        </w:tc>
      </w:tr>
      <w:tr>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stage_1</w:t>
            </w:r>
          </w:p>
        </w:tc>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object or null</w:t>
            </w:r>
          </w:p>
        </w:tc>
        <w:tc>
          <w:tcPr>
            <w:tcW w:type="dxa" w:w="48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Heuristic detail. Null until Phase 3.</w:t>
            </w:r>
          </w:p>
        </w:tc>
      </w:tr>
      <w:tr>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stage_2</w:t>
            </w:r>
          </w:p>
        </w:tc>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object or null</w:t>
            </w:r>
          </w:p>
        </w:tc>
        <w:tc>
          <w:tcPr>
            <w:tcW w:type="dxa" w:w="48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Classifier detail. Null until Phase 5.</w:t>
            </w:r>
          </w:p>
        </w:tc>
      </w:tr>
      <w:tr>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word_count</w:t>
            </w:r>
          </w:p>
        </w:tc>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integer</w:t>
            </w:r>
          </w:p>
        </w:tc>
        <w:tc>
          <w:tcPr>
            <w:tcW w:type="dxa" w:w="48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Words counted in the submitted text.</w:t>
            </w:r>
          </w:p>
        </w:tc>
      </w:tr>
      <w:tr>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truncated</w:t>
            </w:r>
          </w:p>
        </w:tc>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boolean</w:t>
            </w:r>
          </w:p>
        </w:tc>
        <w:tc>
          <w:tcPr>
            <w:tcW w:type="dxa" w:w="48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True when word_count exceeds the cap, so truncation is never silent.</w:t>
            </w:r>
          </w:p>
        </w:tc>
      </w:tr>
      <w:tr>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latency_ms</w:t>
            </w:r>
          </w:p>
        </w:tc>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float</w:t>
            </w:r>
          </w:p>
        </w:tc>
        <w:tc>
          <w:tcPr>
            <w:tcW w:type="dxa" w:w="48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Server-side processing time, for the Phase 6 latency comparison.</w:t>
            </w:r>
          </w:p>
        </w:tc>
      </w:tr>
      <w:tr>
        <w:tc>
          <w:tcPr>
            <w:tcW w:type="dxa" w:w="19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detector_version</w:t>
            </w:r>
          </w:p>
        </w:tc>
        <w:tc>
          <w:tcPr>
            <w:tcW w:type="dxa" w:w="19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string</w:t>
            </w:r>
          </w:p>
        </w:tc>
        <w:tc>
          <w:tcPr>
            <w:tcW w:type="dxa" w:w="48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"phase-1-stub" in this phase. The guard that stops stub output being mistaken for a verdict.</w:t>
            </w:r>
          </w:p>
        </w:tc>
      </w:tr>
    </w:tbl>
    <w:p>
      <w:pPr>
        <w:spacing w:after="0" w:before="140" w:line="240"/>
        <w:ind w:left="240"/>
        <w:jc w:val="left"/>
      </w:pPr>
      <w:r>
        <w:rPr>
          <w:rFonts w:ascii="Menlo" w:cs="Menlo" w:eastAsia="Menlo" w:hAnsi="Menlo"/>
          <w:color w:val="333333"/>
          <w:sz w:val="19"/>
          <w:szCs w:val="19"/>
        </w:rPr>
        <w:t xml:space="preserve">{</w:t>
      </w:r>
    </w:p>
    <w:p>
      <w:pPr>
        <w:spacing w:after="0" w:before="0" w:line="240"/>
        <w:ind w:left="240"/>
        <w:jc w:val="left"/>
      </w:pPr>
      <w:r>
        <w:rPr>
          <w:rFonts w:ascii="Menlo" w:cs="Menlo" w:eastAsia="Menlo" w:hAnsi="Menlo"/>
          <w:color w:val="333333"/>
          <w:sz w:val="19"/>
          <w:szCs w:val="19"/>
        </w:rPr>
        <w:t xml:space="preserve">  "doc_id": "wiki-4471",</w:t>
      </w:r>
    </w:p>
    <w:p>
      <w:pPr>
        <w:spacing w:after="0" w:before="0" w:line="240"/>
        <w:ind w:left="240"/>
        <w:jc w:val="left"/>
      </w:pPr>
      <w:r>
        <w:rPr>
          <w:rFonts w:ascii="Menlo" w:cs="Menlo" w:eastAsia="Menlo" w:hAnsi="Menlo"/>
          <w:color w:val="333333"/>
          <w:sz w:val="19"/>
          <w:szCs w:val="19"/>
        </w:rPr>
        <w:t xml:space="preserve">  "is_injection": false,</w:t>
      </w:r>
    </w:p>
    <w:p>
      <w:pPr>
        <w:spacing w:after="0" w:before="0" w:line="240"/>
        <w:ind w:left="240"/>
        <w:jc w:val="left"/>
      </w:pPr>
      <w:r>
        <w:rPr>
          <w:rFonts w:ascii="Menlo" w:cs="Menlo" w:eastAsia="Menlo" w:hAnsi="Menlo"/>
          <w:color w:val="333333"/>
          <w:sz w:val="19"/>
          <w:szCs w:val="19"/>
        </w:rPr>
        <w:t xml:space="preserve">  "score": 0.0,</w:t>
      </w:r>
    </w:p>
    <w:p>
      <w:pPr>
        <w:spacing w:after="0" w:before="0" w:line="240"/>
        <w:ind w:left="240"/>
        <w:jc w:val="left"/>
      </w:pPr>
      <w:r>
        <w:rPr>
          <w:rFonts w:ascii="Menlo" w:cs="Menlo" w:eastAsia="Menlo" w:hAnsi="Menlo"/>
          <w:color w:val="333333"/>
          <w:sz w:val="19"/>
          <w:szCs w:val="19"/>
        </w:rPr>
        <w:t xml:space="preserve">  "stage_1": null,</w:t>
      </w:r>
    </w:p>
    <w:p>
      <w:pPr>
        <w:spacing w:after="0" w:before="0" w:line="240"/>
        <w:ind w:left="240"/>
        <w:jc w:val="left"/>
      </w:pPr>
      <w:r>
        <w:rPr>
          <w:rFonts w:ascii="Menlo" w:cs="Menlo" w:eastAsia="Menlo" w:hAnsi="Menlo"/>
          <w:color w:val="333333"/>
          <w:sz w:val="19"/>
          <w:szCs w:val="19"/>
        </w:rPr>
        <w:t xml:space="preserve">  "stage_2": null,</w:t>
      </w:r>
    </w:p>
    <w:p>
      <w:pPr>
        <w:spacing w:after="0" w:before="0" w:line="240"/>
        <w:ind w:left="240"/>
        <w:jc w:val="left"/>
      </w:pPr>
      <w:r>
        <w:rPr>
          <w:rFonts w:ascii="Menlo" w:cs="Menlo" w:eastAsia="Menlo" w:hAnsi="Menlo"/>
          <w:color w:val="333333"/>
          <w:sz w:val="19"/>
          <w:szCs w:val="19"/>
        </w:rPr>
        <w:t xml:space="preserve">  "word_count": 118,</w:t>
      </w:r>
    </w:p>
    <w:p>
      <w:pPr>
        <w:spacing w:after="0" w:before="0" w:line="240"/>
        <w:ind w:left="240"/>
        <w:jc w:val="left"/>
      </w:pPr>
      <w:r>
        <w:rPr>
          <w:rFonts w:ascii="Menlo" w:cs="Menlo" w:eastAsia="Menlo" w:hAnsi="Menlo"/>
          <w:color w:val="333333"/>
          <w:sz w:val="19"/>
          <w:szCs w:val="19"/>
        </w:rPr>
        <w:t xml:space="preserve">  "truncated": false,</w:t>
      </w:r>
    </w:p>
    <w:p>
      <w:pPr>
        <w:spacing w:after="0" w:before="0" w:line="240"/>
        <w:ind w:left="240"/>
        <w:jc w:val="left"/>
      </w:pPr>
      <w:r>
        <w:rPr>
          <w:rFonts w:ascii="Menlo" w:cs="Menlo" w:eastAsia="Menlo" w:hAnsi="Menlo"/>
          <w:color w:val="333333"/>
          <w:sz w:val="19"/>
          <w:szCs w:val="19"/>
        </w:rPr>
        <w:t xml:space="preserve">  "latency_ms": 0.41,</w:t>
      </w:r>
    </w:p>
    <w:p>
      <w:pPr>
        <w:spacing w:after="0" w:before="0" w:line="240"/>
        <w:ind w:left="240"/>
        <w:jc w:val="left"/>
      </w:pPr>
      <w:r>
        <w:rPr>
          <w:rFonts w:ascii="Menlo" w:cs="Menlo" w:eastAsia="Menlo" w:hAnsi="Menlo"/>
          <w:color w:val="333333"/>
          <w:sz w:val="19"/>
          <w:szCs w:val="19"/>
        </w:rPr>
        <w:t xml:space="preserve">  "detector_version": "phase-1-stub"</w:t>
      </w:r>
    </w:p>
    <w:p>
      <w:pPr>
        <w:spacing w:after="140" w:before="0" w:line="240"/>
        <w:ind w:left="240"/>
        <w:jc w:val="left"/>
      </w:pPr>
      <w:r>
        <w:rPr>
          <w:rFonts w:ascii="Menlo" w:cs="Menlo" w:eastAsia="Menlo" w:hAnsi="Menlo"/>
          <w:color w:val="333333"/>
          <w:sz w:val="19"/>
          <w:szCs w:val="19"/>
        </w:rPr>
        <w:t xml:space="preserve">}</w:t>
      </w:r>
    </w:p>
    <w:p>
      <w:pPr>
        <w:pStyle w:val="Heading2"/>
        <w:spacing w:after="80" w:before="240" w:line="240"/>
        <w:jc w:val="left"/>
      </w:pPr>
      <w:r>
        <w:rPr>
          <w:rFonts w:ascii="Helvetica Neue" w:cs="Helvetica Neue" w:eastAsia="Helvetica Neue" w:hAnsi="Helvetica Neue"/>
          <w:b/>
          <w:bCs/>
          <w:color w:val="000000"/>
          <w:sz w:val="28"/>
          <w:szCs w:val="28"/>
        </w:rPr>
        <w:t xml:space="preserve">3.4 Validation behaviour</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5040"/>
        <w:gridCol w:w="3600"/>
      </w:tblGrid>
      <w:tr>
        <w:trPr>
          <w:tblHeader/>
        </w:trPr>
        <w:tc>
          <w:tcPr>
            <w:tcW w:type="dxa" w:w="50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Condition</w:t>
            </w:r>
          </w:p>
        </w:tc>
        <w:tc>
          <w:tcPr>
            <w:tcW w:type="dxa" w:w="36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Result</w:t>
            </w:r>
          </w:p>
        </w:tc>
      </w:tr>
      <w:tr>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Well-formed request</w:t>
            </w:r>
          </w:p>
        </w:tc>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200, stub result</w:t>
            </w:r>
          </w:p>
        </w:tc>
      </w:tr>
      <w:tr>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text field absent</w:t>
            </w:r>
          </w:p>
        </w:tc>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422, validation error</w:t>
            </w:r>
          </w:p>
        </w:tc>
      </w:tr>
      <w:tr>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text empty or whitespace only</w:t>
            </w:r>
          </w:p>
        </w:tc>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422, validation error</w:t>
            </w:r>
          </w:p>
        </w:tc>
      </w:tr>
      <w:tr>
        <w:tc>
          <w:tcPr>
            <w:tcW w:type="dxa" w:w="50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Document exceeds the word cap</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200, with truncated set to true</w:t>
            </w:r>
          </w:p>
        </w:tc>
      </w:tr>
    </w:tbl>
    <w:p>
      <w:pPr>
        <w:pStyle w:val="Heading1"/>
        <w:spacing w:after="120" w:before="360" w:line="240"/>
        <w:jc w:val="left"/>
      </w:pPr>
      <w:r>
        <w:rPr>
          <w:rFonts w:ascii="Helvetica Neue" w:cs="Helvetica Neue" w:eastAsia="Helvetica Neue" w:hAnsi="Helvetica Neue"/>
          <w:b/>
          <w:bCs/>
          <w:color w:val="000000"/>
          <w:sz w:val="36"/>
          <w:szCs w:val="36"/>
        </w:rPr>
        <w:t xml:space="preserve">4. Project structure</w:t>
      </w:r>
    </w:p>
    <w:p>
      <w:pPr>
        <w:spacing w:after="120" w:before="120" w:line="276"/>
        <w:jc w:val="both"/>
      </w:pPr>
      <w:r>
        <w:rPr>
          <w:rFonts w:ascii="Helvetica Neue" w:cs="Helvetica Neue" w:eastAsia="Helvetica Neue" w:hAnsi="Helvetica Neue"/>
          <w:i w:val="false"/>
          <w:iCs w:val="false"/>
          <w:color w:val="333333"/>
          <w:sz w:val="22"/>
          <w:szCs w:val="22"/>
        </w:rPr>
        <w:t xml:space="preserve">The detection package is created empty in Phase 1. Its two modules arrive later, so that the shape of the finished system is visible from the outset without any placeholder logic being mistaken for a detector.</w:t>
      </w:r>
    </w:p>
    <w:p>
      <w:pPr>
        <w:spacing w:after="0" w:before="140" w:line="240"/>
        <w:ind w:left="240"/>
        <w:jc w:val="left"/>
      </w:pPr>
      <w:r>
        <w:rPr>
          <w:rFonts w:ascii="Menlo" w:cs="Menlo" w:eastAsia="Menlo" w:hAnsi="Menlo"/>
          <w:color w:val="333333"/>
          <w:sz w:val="19"/>
          <w:szCs w:val="19"/>
        </w:rPr>
        <w:t xml:space="preserve">ai-prompt-firewall/</w:t>
      </w:r>
    </w:p>
    <w:p>
      <w:pPr>
        <w:spacing w:after="0" w:before="0" w:line="240"/>
        <w:ind w:left="240"/>
        <w:jc w:val="left"/>
      </w:pPr>
      <w:r>
        <w:rPr>
          <w:rFonts w:ascii="Menlo" w:cs="Menlo" w:eastAsia="Menlo" w:hAnsi="Menlo"/>
          <w:color w:val="333333"/>
          <w:sz w:val="19"/>
          <w:szCs w:val="19"/>
        </w:rPr>
        <w:t xml:space="preserve">├── app/</w:t>
      </w:r>
    </w:p>
    <w:p>
      <w:pPr>
        <w:spacing w:after="0" w:before="0" w:line="240"/>
        <w:ind w:left="240"/>
        <w:jc w:val="left"/>
      </w:pPr>
      <w:r>
        <w:rPr>
          <w:rFonts w:ascii="Menlo" w:cs="Menlo" w:eastAsia="Menlo" w:hAnsi="Menlo"/>
          <w:color w:val="333333"/>
          <w:sz w:val="19"/>
          <w:szCs w:val="19"/>
        </w:rPr>
        <w:t xml:space="preserve">│   ├── main.py            application factory, router mounting</w:t>
      </w:r>
    </w:p>
    <w:p>
      <w:pPr>
        <w:spacing w:after="0" w:before="0" w:line="240"/>
        <w:ind w:left="240"/>
        <w:jc w:val="left"/>
      </w:pPr>
      <w:r>
        <w:rPr>
          <w:rFonts w:ascii="Menlo" w:cs="Menlo" w:eastAsia="Menlo" w:hAnsi="Menlo"/>
          <w:color w:val="333333"/>
          <w:sz w:val="19"/>
          <w:szCs w:val="19"/>
        </w:rPr>
        <w:t xml:space="preserve">│   ├── config.py          named constants: word cap, thresholds</w:t>
      </w:r>
    </w:p>
    <w:p>
      <w:pPr>
        <w:spacing w:after="0" w:before="0" w:line="240"/>
        <w:ind w:left="240"/>
        <w:jc w:val="left"/>
      </w:pPr>
      <w:r>
        <w:rPr>
          <w:rFonts w:ascii="Menlo" w:cs="Menlo" w:eastAsia="Menlo" w:hAnsi="Menlo"/>
          <w:color w:val="333333"/>
          <w:sz w:val="19"/>
          <w:szCs w:val="19"/>
        </w:rPr>
        <w:t xml:space="preserve">│   ├── models/</w:t>
      </w:r>
    </w:p>
    <w:p>
      <w:pPr>
        <w:spacing w:after="0" w:before="0" w:line="240"/>
        <w:ind w:left="240"/>
        <w:jc w:val="left"/>
      </w:pPr>
      <w:r>
        <w:rPr>
          <w:rFonts w:ascii="Menlo" w:cs="Menlo" w:eastAsia="Menlo" w:hAnsi="Menlo"/>
          <w:color w:val="333333"/>
          <w:sz w:val="19"/>
          <w:szCs w:val="19"/>
        </w:rPr>
        <w:t xml:space="preserve">│   │   ├── requests.py    ScanRequest</w:t>
      </w:r>
    </w:p>
    <w:p>
      <w:pPr>
        <w:spacing w:after="0" w:before="0" w:line="240"/>
        <w:ind w:left="240"/>
        <w:jc w:val="left"/>
      </w:pPr>
      <w:r>
        <w:rPr>
          <w:rFonts w:ascii="Menlo" w:cs="Menlo" w:eastAsia="Menlo" w:hAnsi="Menlo"/>
          <w:color w:val="333333"/>
          <w:sz w:val="19"/>
          <w:szCs w:val="19"/>
        </w:rPr>
        <w:t xml:space="preserve">│   │   └── responses.py   ScanResponse, StageResult, HealthResponse</w:t>
      </w:r>
    </w:p>
    <w:p>
      <w:pPr>
        <w:spacing w:after="0" w:before="0" w:line="240"/>
        <w:ind w:left="240"/>
        <w:jc w:val="left"/>
      </w:pPr>
      <w:r>
        <w:rPr>
          <w:rFonts w:ascii="Menlo" w:cs="Menlo" w:eastAsia="Menlo" w:hAnsi="Menlo"/>
          <w:color w:val="333333"/>
          <w:sz w:val="19"/>
          <w:szCs w:val="19"/>
        </w:rPr>
        <w:t xml:space="preserve">│   ├── routers/</w:t>
      </w:r>
    </w:p>
    <w:p>
      <w:pPr>
        <w:spacing w:after="0" w:before="0" w:line="240"/>
        <w:ind w:left="240"/>
        <w:jc w:val="left"/>
      </w:pPr>
      <w:r>
        <w:rPr>
          <w:rFonts w:ascii="Menlo" w:cs="Menlo" w:eastAsia="Menlo" w:hAnsi="Menlo"/>
          <w:color w:val="333333"/>
          <w:sz w:val="19"/>
          <w:szCs w:val="19"/>
        </w:rPr>
        <w:t xml:space="preserve">│   │   ├── health.py      GET /health</w:t>
      </w:r>
    </w:p>
    <w:p>
      <w:pPr>
        <w:spacing w:after="0" w:before="0" w:line="240"/>
        <w:ind w:left="240"/>
        <w:jc w:val="left"/>
      </w:pPr>
      <w:r>
        <w:rPr>
          <w:rFonts w:ascii="Menlo" w:cs="Menlo" w:eastAsia="Menlo" w:hAnsi="Menlo"/>
          <w:color w:val="333333"/>
          <w:sz w:val="19"/>
          <w:szCs w:val="19"/>
        </w:rPr>
        <w:t xml:space="preserve">│   │   └── scan.py        POST /v1/scan</w:t>
      </w:r>
    </w:p>
    <w:p>
      <w:pPr>
        <w:spacing w:after="0" w:before="0" w:line="240"/>
        <w:ind w:left="240"/>
        <w:jc w:val="left"/>
      </w:pPr>
      <w:r>
        <w:rPr>
          <w:rFonts w:ascii="Menlo" w:cs="Menlo" w:eastAsia="Menlo" w:hAnsi="Menlo"/>
          <w:color w:val="333333"/>
          <w:sz w:val="19"/>
          <w:szCs w:val="19"/>
        </w:rPr>
        <w:t xml:space="preserve">│   └── detection/         empty package; stage1.py Phase 3, stage2.py Phase 5</w:t>
      </w:r>
    </w:p>
    <w:p>
      <w:pPr>
        <w:spacing w:after="0" w:before="0" w:line="240"/>
        <w:ind w:left="240"/>
        <w:jc w:val="left"/>
      </w:pPr>
      <w:r>
        <w:rPr>
          <w:rFonts w:ascii="Menlo" w:cs="Menlo" w:eastAsia="Menlo" w:hAnsi="Menlo"/>
          <w:color w:val="333333"/>
          <w:sz w:val="19"/>
          <w:szCs w:val="19"/>
        </w:rPr>
        <w:t xml:space="preserve">├── tests/</w:t>
      </w:r>
    </w:p>
    <w:p>
      <w:pPr>
        <w:spacing w:after="0" w:before="0" w:line="240"/>
        <w:ind w:left="240"/>
        <w:jc w:val="left"/>
      </w:pPr>
      <w:r>
        <w:rPr>
          <w:rFonts w:ascii="Menlo" w:cs="Menlo" w:eastAsia="Menlo" w:hAnsi="Menlo"/>
          <w:color w:val="333333"/>
          <w:sz w:val="19"/>
          <w:szCs w:val="19"/>
        </w:rPr>
        <w:t xml:space="preserve">│   ├── test_health.py</w:t>
      </w:r>
    </w:p>
    <w:p>
      <w:pPr>
        <w:spacing w:after="0" w:before="0" w:line="240"/>
        <w:ind w:left="240"/>
        <w:jc w:val="left"/>
      </w:pPr>
      <w:r>
        <w:rPr>
          <w:rFonts w:ascii="Menlo" w:cs="Menlo" w:eastAsia="Menlo" w:hAnsi="Menlo"/>
          <w:color w:val="333333"/>
          <w:sz w:val="19"/>
          <w:szCs w:val="19"/>
        </w:rPr>
        <w:t xml:space="preserve">│   └── test_scan_stub.py</w:t>
      </w:r>
    </w:p>
    <w:p>
      <w:pPr>
        <w:spacing w:after="0" w:before="0" w:line="240"/>
        <w:ind w:left="240"/>
        <w:jc w:val="left"/>
      </w:pPr>
      <w:r>
        <w:rPr>
          <w:rFonts w:ascii="Menlo" w:cs="Menlo" w:eastAsia="Menlo" w:hAnsi="Menlo"/>
          <w:color w:val="333333"/>
          <w:sz w:val="19"/>
          <w:szCs w:val="19"/>
        </w:rPr>
        <w:t xml:space="preserve">├── docs/</w:t>
      </w:r>
    </w:p>
    <w:p>
      <w:pPr>
        <w:spacing w:after="0" w:before="0" w:line="240"/>
        <w:ind w:left="240"/>
        <w:jc w:val="left"/>
      </w:pPr>
      <w:r>
        <w:rPr>
          <w:rFonts w:ascii="Menlo" w:cs="Menlo" w:eastAsia="Menlo" w:hAnsi="Menlo"/>
          <w:color w:val="333333"/>
          <w:sz w:val="19"/>
          <w:szCs w:val="19"/>
        </w:rPr>
        <w:t xml:space="preserve">├── pyproject.toml</w:t>
      </w:r>
    </w:p>
    <w:p>
      <w:pPr>
        <w:spacing w:after="0" w:before="0" w:line="240"/>
        <w:ind w:left="240"/>
        <w:jc w:val="left"/>
      </w:pPr>
      <w:r>
        <w:rPr>
          <w:rFonts w:ascii="Menlo" w:cs="Menlo" w:eastAsia="Menlo" w:hAnsi="Menlo"/>
          <w:color w:val="333333"/>
          <w:sz w:val="19"/>
          <w:szCs w:val="19"/>
        </w:rPr>
        <w:t xml:space="preserve">├── requirements.txt</w:t>
      </w:r>
    </w:p>
    <w:p>
      <w:pPr>
        <w:spacing w:after="0" w:before="0" w:line="240"/>
        <w:ind w:left="240"/>
        <w:jc w:val="left"/>
      </w:pPr>
      <w:r>
        <w:rPr>
          <w:rFonts w:ascii="Menlo" w:cs="Menlo" w:eastAsia="Menlo" w:hAnsi="Menlo"/>
          <w:color w:val="333333"/>
          <w:sz w:val="19"/>
          <w:szCs w:val="19"/>
        </w:rPr>
        <w:t xml:space="preserve">├── README.md</w:t>
      </w:r>
    </w:p>
    <w:p>
      <w:pPr>
        <w:spacing w:after="140" w:before="0" w:line="240"/>
        <w:ind w:left="240"/>
        <w:jc w:val="left"/>
      </w:pPr>
      <w:r>
        <w:rPr>
          <w:rFonts w:ascii="Menlo" w:cs="Menlo" w:eastAsia="Menlo" w:hAnsi="Menlo"/>
          <w:color w:val="333333"/>
          <w:sz w:val="19"/>
          <w:szCs w:val="19"/>
        </w:rPr>
        <w:t xml:space="preserve">└── .gitignore</w:t>
      </w:r>
    </w:p>
    <w:p>
      <w:pPr>
        <w:pStyle w:val="Heading1"/>
        <w:spacing w:after="120" w:before="360" w:line="240"/>
        <w:jc w:val="left"/>
      </w:pPr>
      <w:r>
        <w:rPr>
          <w:rFonts w:ascii="Helvetica Neue" w:cs="Helvetica Neue" w:eastAsia="Helvetica Neue" w:hAnsi="Helvetica Neue"/>
          <w:b/>
          <w:bCs/>
          <w:color w:val="000000"/>
          <w:sz w:val="36"/>
          <w:szCs w:val="36"/>
        </w:rPr>
        <w:t xml:space="preserve">5. Configuration constants</w:t>
      </w:r>
    </w:p>
    <w:p>
      <w:pPr>
        <w:spacing w:after="120" w:before="120" w:line="276"/>
        <w:jc w:val="both"/>
      </w:pPr>
      <w:r>
        <w:rPr>
          <w:rFonts w:ascii="Helvetica Neue" w:cs="Helvetica Neue" w:eastAsia="Helvetica Neue" w:hAnsi="Helvetica Neue"/>
          <w:i w:val="false"/>
          <w:iCs w:val="false"/>
          <w:color w:val="333333"/>
          <w:sz w:val="22"/>
          <w:szCs w:val="22"/>
        </w:rPr>
        <w:t xml:space="preserve">Both values live in config.py as named constants rather than being scattered through the code, because the thesis will need to quote and justify them.</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2200"/>
        <w:gridCol w:w="1000"/>
        <w:gridCol w:w="5440"/>
      </w:tblGrid>
      <w:tr>
        <w:trPr>
          <w:tblHeader/>
        </w:trPr>
        <w:tc>
          <w:tcPr>
            <w:tcW w:type="dxa" w:w="22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Constant</w:t>
            </w:r>
          </w:p>
        </w:tc>
        <w:tc>
          <w:tcPr>
            <w:tcW w:type="dxa" w:w="10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Value</w:t>
            </w:r>
          </w:p>
        </w:tc>
        <w:tc>
          <w:tcPr>
            <w:tcW w:type="dxa" w:w="54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Meaning</w:t>
            </w:r>
          </w:p>
        </w:tc>
      </w:tr>
      <w:tr>
        <w:tc>
          <w:tcPr>
            <w:tcW w:type="dxa" w:w="22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MAX_WORDS</w:t>
            </w:r>
          </w:p>
        </w:tc>
        <w:tc>
          <w:tcPr>
            <w:tcW w:type="dxa" w:w="1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350</w:t>
            </w:r>
          </w:p>
        </w:tc>
        <w:tc>
          <w:tcPr>
            <w:tcW w:type="dxa" w:w="54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Per-document word ceiling, from the project's hard constraints.</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STAGE2_MAX_TOKENS</w:t>
            </w:r>
          </w:p>
        </w:tc>
        <w:tc>
          <w:tcPr>
            <w:tcW w:type="dxa" w:w="1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512</w:t>
            </w:r>
          </w:p>
        </w:tc>
        <w:tc>
          <w:tcPr>
            <w:tcW w:type="dxa" w:w="54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Sequence ceiling of the Stage 2 encoder, which the word cap approximates.</w:t>
            </w:r>
          </w:p>
        </w:tc>
      </w:tr>
    </w:tbl>
    <w:p>
      <w:pPr>
        <w:spacing w:after="120" w:before="120" w:line="276"/>
        <w:jc w:val="both"/>
      </w:pPr>
      <w:r>
        <w:rPr>
          <w:rFonts w:ascii="Helvetica Neue" w:cs="Helvetica Neue" w:eastAsia="Helvetica Neue" w:hAnsi="Helvetica Neue"/>
          <w:i w:val="false"/>
          <w:iCs w:val="false"/>
          <w:color w:val="333333"/>
          <w:sz w:val="22"/>
          <w:szCs w:val="22"/>
        </w:rPr>
        <w:t xml:space="preserve">The word cap is a proxy for the token cap, and an unreliable one for some of the Phase 2 attack categories. Base64 blobs, ASCII-art text and invisible Unicode characters tokenize far less efficiently than ordinary prose, so a 350-word example built from one of those techniques can still exceed 512 tokens and be silently truncated during fine-tuning. Actual token counts must be checked with the target tokenizer for those categories specifically, not inferred from word counts.</w:t>
      </w:r>
    </w:p>
    <w:p>
      <w:pPr>
        <w:pStyle w:val="Heading1"/>
        <w:spacing w:after="120" w:before="360" w:line="240"/>
        <w:jc w:val="left"/>
      </w:pPr>
      <w:r>
        <w:rPr>
          <w:rFonts w:ascii="Helvetica Neue" w:cs="Helvetica Neue" w:eastAsia="Helvetica Neue" w:hAnsi="Helvetica Neue"/>
          <w:b/>
          <w:bCs/>
          <w:color w:val="000000"/>
          <w:sz w:val="36"/>
          <w:szCs w:val="36"/>
        </w:rPr>
        <w:t xml:space="preserve">6. Dependencies</w:t>
      </w:r>
    </w:p>
    <w:p>
      <w:pPr>
        <w:spacing w:after="120" w:before="120" w:line="276"/>
        <w:jc w:val="both"/>
      </w:pPr>
      <w:r>
        <w:rPr>
          <w:rFonts w:ascii="Helvetica Neue" w:cs="Helvetica Neue" w:eastAsia="Helvetica Neue" w:hAnsi="Helvetica Neue"/>
          <w:i w:val="false"/>
          <w:iCs w:val="false"/>
          <w:color w:val="333333"/>
          <w:sz w:val="22"/>
          <w:szCs w:val="22"/>
        </w:rPr>
        <w:t xml:space="preserve">Nothing in this set requires a GPU, downloads a model, or contacts a remote inference service. Exact versions are resolved at install time and written into requirements.txt as pins.</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2600"/>
        <w:gridCol w:w="6040"/>
      </w:tblGrid>
      <w:tr>
        <w:trPr>
          <w:tblHeader/>
        </w:trPr>
        <w:tc>
          <w:tcPr>
            <w:tcW w:type="dxa" w:w="26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Package</w:t>
            </w:r>
          </w:p>
        </w:tc>
        <w:tc>
          <w:tcPr>
            <w:tcW w:type="dxa" w:w="60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Role</w:t>
            </w:r>
          </w:p>
        </w:tc>
      </w:tr>
      <w:tr>
        <w:tc>
          <w:tcPr>
            <w:tcW w:type="dxa" w:w="2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fastapi</w:t>
            </w:r>
          </w:p>
        </w:tc>
        <w:tc>
          <w:tcPr>
            <w:tcW w:type="dxa" w:w="6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Web framework and request validation.</w:t>
            </w:r>
          </w:p>
        </w:tc>
      </w:tr>
      <w:tr>
        <w:tc>
          <w:tcPr>
            <w:tcW w:type="dxa" w:w="2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uvicorn[standard]</w:t>
            </w:r>
          </w:p>
        </w:tc>
        <w:tc>
          <w:tcPr>
            <w:tcW w:type="dxa" w:w="6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ASGI server for local execution.</w:t>
            </w:r>
          </w:p>
        </w:tc>
      </w:tr>
      <w:tr>
        <w:tc>
          <w:tcPr>
            <w:tcW w:type="dxa" w:w="2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pydantic</w:t>
            </w:r>
          </w:p>
        </w:tc>
        <w:tc>
          <w:tcPr>
            <w:tcW w:type="dxa" w:w="6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Request and response models; the API contract in code.</w:t>
            </w:r>
          </w:p>
        </w:tc>
      </w:tr>
      <w:tr>
        <w:tc>
          <w:tcPr>
            <w:tcW w:type="dxa" w:w="2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pytest</w:t>
            </w:r>
          </w:p>
        </w:tc>
        <w:tc>
          <w:tcPr>
            <w:tcW w:type="dxa" w:w="6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Test runner for the Phase 1 smoke suite and the Phase 3 evaluation tests.</w:t>
            </w:r>
          </w:p>
        </w:tc>
      </w:tr>
      <w:tr>
        <w:tc>
          <w:tcPr>
            <w:tcW w:type="dxa" w:w="2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httpx</w:t>
            </w:r>
          </w:p>
        </w:tc>
        <w:tc>
          <w:tcPr>
            <w:tcW w:type="dxa" w:w="60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Required by the FastAPI test client.</w:t>
            </w:r>
          </w:p>
        </w:tc>
      </w:tr>
    </w:tbl>
    <w:p>
      <w:pPr>
        <w:pStyle w:val="Heading1"/>
        <w:spacing w:after="120" w:before="360" w:line="240"/>
        <w:jc w:val="left"/>
      </w:pPr>
      <w:r>
        <w:rPr>
          <w:rFonts w:ascii="Helvetica Neue" w:cs="Helvetica Neue" w:eastAsia="Helvetica Neue" w:hAnsi="Helvetica Neue"/>
          <w:b/>
          <w:bCs/>
          <w:color w:val="000000"/>
          <w:sz w:val="36"/>
          <w:szCs w:val="36"/>
        </w:rPr>
        <w:t xml:space="preserve">7. Test plan</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3400"/>
        <w:gridCol w:w="5240"/>
      </w:tblGrid>
      <w:tr>
        <w:trPr>
          <w:tblHeader/>
        </w:trPr>
        <w:tc>
          <w:tcPr>
            <w:tcW w:type="dxa" w:w="34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Test</w:t>
            </w:r>
          </w:p>
        </w:tc>
        <w:tc>
          <w:tcPr>
            <w:tcW w:type="dxa" w:w="52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Assertion</w:t>
            </w:r>
          </w:p>
        </w:tc>
      </w:tr>
      <w:tr>
        <w:tc>
          <w:tcPr>
            <w:tcW w:type="dxa" w:w="3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Health endpoint responds</w:t>
            </w:r>
          </w:p>
        </w:tc>
        <w:tc>
          <w:tcPr>
            <w:tcW w:type="dxa" w:w="5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200, status "ok", both stage-ready flags false.</w:t>
            </w:r>
          </w:p>
        </w:tc>
      </w:tr>
      <w:tr>
        <w:tc>
          <w:tcPr>
            <w:tcW w:type="dxa" w:w="3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Scan accepts a valid document</w:t>
            </w:r>
          </w:p>
        </w:tc>
        <w:tc>
          <w:tcPr>
            <w:tcW w:type="dxa" w:w="5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200, detector_version is "phase-1-stub", word_count matches the input.</w:t>
            </w:r>
          </w:p>
        </w:tc>
      </w:tr>
      <w:tr>
        <w:tc>
          <w:tcPr>
            <w:tcW w:type="dxa" w:w="3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Scan echoes doc_id</w:t>
            </w:r>
          </w:p>
        </w:tc>
        <w:tc>
          <w:tcPr>
            <w:tcW w:type="dxa" w:w="5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submitted identifier is returned unchanged.</w:t>
            </w:r>
          </w:p>
        </w:tc>
      </w:tr>
      <w:tr>
        <w:tc>
          <w:tcPr>
            <w:tcW w:type="dxa" w:w="3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Scan rejects missing text</w:t>
            </w:r>
          </w:p>
        </w:tc>
        <w:tc>
          <w:tcPr>
            <w:tcW w:type="dxa" w:w="5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422.</w:t>
            </w:r>
          </w:p>
        </w:tc>
      </w:tr>
      <w:tr>
        <w:tc>
          <w:tcPr>
            <w:tcW w:type="dxa" w:w="3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Scan rejects whitespace-only text</w:t>
            </w:r>
          </w:p>
        </w:tc>
        <w:tc>
          <w:tcPr>
            <w:tcW w:type="dxa" w:w="5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422 — a document of spaces is not a document.</w:t>
            </w:r>
          </w:p>
        </w:tc>
      </w:tr>
      <w:tr>
        <w:tc>
          <w:tcPr>
            <w:tcW w:type="dxa" w:w="3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Over-cap document is flagged</w:t>
            </w:r>
          </w:p>
        </w:tc>
        <w:tc>
          <w:tcPr>
            <w:tcW w:type="dxa" w:w="5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200, truncated is true, and word_count reports the true length.</w:t>
            </w:r>
          </w:p>
        </w:tc>
      </w:tr>
      <w:tr>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Metadata is optional</w:t>
            </w:r>
          </w:p>
        </w:tc>
        <w:tc>
          <w:tcPr>
            <w:tcW w:type="dxa" w:w="52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200 when the metadata field is omitted entirely.</w:t>
            </w:r>
          </w:p>
        </w:tc>
      </w:tr>
    </w:tbl>
    <w:p>
      <w:pPr>
        <w:pStyle w:val="Heading1"/>
        <w:spacing w:after="120" w:before="360" w:line="240"/>
        <w:jc w:val="left"/>
      </w:pPr>
      <w:r>
        <w:rPr>
          <w:rFonts w:ascii="Helvetica Neue" w:cs="Helvetica Neue" w:eastAsia="Helvetica Neue" w:hAnsi="Helvetica Neue"/>
          <w:b/>
          <w:bCs/>
          <w:color w:val="000000"/>
          <w:sz w:val="36"/>
          <w:szCs w:val="36"/>
        </w:rPr>
        <w:t xml:space="preserve">8. Running locally on CPU</w:t>
      </w:r>
    </w:p>
    <w:p>
      <w:pPr>
        <w:spacing w:after="0" w:before="140" w:line="240"/>
        <w:ind w:left="240"/>
        <w:jc w:val="left"/>
      </w:pPr>
      <w:r>
        <w:rPr>
          <w:rFonts w:ascii="Menlo" w:cs="Menlo" w:eastAsia="Menlo" w:hAnsi="Menlo"/>
          <w:color w:val="333333"/>
          <w:sz w:val="19"/>
          <w:szCs w:val="19"/>
        </w:rPr>
        <w:t xml:space="preserve">python3 -m venv .venv</w:t>
      </w:r>
    </w:p>
    <w:p>
      <w:pPr>
        <w:spacing w:after="0" w:before="0" w:line="240"/>
        <w:ind w:left="240"/>
        <w:jc w:val="left"/>
      </w:pPr>
      <w:r>
        <w:rPr>
          <w:rFonts w:ascii="Menlo" w:cs="Menlo" w:eastAsia="Menlo" w:hAnsi="Menlo"/>
          <w:color w:val="333333"/>
          <w:sz w:val="19"/>
          <w:szCs w:val="19"/>
        </w:rPr>
        <w:t xml:space="preserve">source .venv/bin/activate          # Windows: .venv\Scripts\activate</w:t>
      </w:r>
    </w:p>
    <w:p>
      <w:pPr>
        <w:spacing w:after="0" w:before="0" w:line="240"/>
        <w:ind w:left="240"/>
        <w:jc w:val="left"/>
      </w:pPr>
      <w:r>
        <w:rPr>
          <w:rFonts w:ascii="Menlo" w:cs="Menlo" w:eastAsia="Menlo" w:hAnsi="Menlo"/>
          <w:color w:val="333333"/>
          <w:sz w:val="19"/>
          <w:szCs w:val="19"/>
        </w:rPr>
        <w:t xml:space="preserve">pip install -r requirements.txt</w:t>
      </w:r>
    </w:p>
    <w:p>
      <w:pPr>
        <w:spacing w:after="0" w:before="0" w:line="240"/>
        <w:ind w:left="240"/>
        <w:jc w:val="left"/>
      </w:pPr>
      <w:r>
        <w:rPr>
          <w:rFonts w:ascii="Menlo" w:cs="Menlo" w:eastAsia="Menlo" w:hAnsi="Menlo"/>
          <w:color w:val="333333"/>
          <w:sz w:val="19"/>
          <w:szCs w:val="19"/>
        </w:rPr>
        <w:t xml:space="preserve">uvicorn app.main:app --reload</w:t>
      </w:r>
    </w:p>
    <w:p>
      <w:pPr>
        <w:spacing w:after="0" w:before="0" w:line="240"/>
        <w:ind w:left="240"/>
        <w:jc w:val="left"/>
      </w:pPr>
      <w:r>
        <w:rPr>
          <w:rFonts w:ascii="Menlo" w:cs="Menlo" w:eastAsia="Menlo" w:hAnsi="Menlo"/>
          <w:color w:val="333333"/>
          <w:sz w:val="19"/>
          <w:szCs w:val="19"/>
        </w:rPr>
        <w:t xml:space="preserve"/>
      </w:r>
    </w:p>
    <w:p>
      <w:pPr>
        <w:spacing w:after="0" w:before="0" w:line="240"/>
        <w:ind w:left="240"/>
        <w:jc w:val="left"/>
      </w:pPr>
      <w:r>
        <w:rPr>
          <w:rFonts w:ascii="Menlo" w:cs="Menlo" w:eastAsia="Menlo" w:hAnsi="Menlo"/>
          <w:color w:val="333333"/>
          <w:sz w:val="19"/>
          <w:szCs w:val="19"/>
        </w:rPr>
        <w:t xml:space="preserve"># in a second terminal</w:t>
      </w:r>
    </w:p>
    <w:p>
      <w:pPr>
        <w:spacing w:after="0" w:before="0" w:line="240"/>
        <w:ind w:left="240"/>
        <w:jc w:val="left"/>
      </w:pPr>
      <w:r>
        <w:rPr>
          <w:rFonts w:ascii="Menlo" w:cs="Menlo" w:eastAsia="Menlo" w:hAnsi="Menlo"/>
          <w:color w:val="333333"/>
          <w:sz w:val="19"/>
          <w:szCs w:val="19"/>
        </w:rPr>
        <w:t xml:space="preserve">curl http://127.0.0.1:8000/health</w:t>
      </w:r>
    </w:p>
    <w:p>
      <w:pPr>
        <w:spacing w:after="0" w:before="0" w:line="240"/>
        <w:ind w:left="240"/>
        <w:jc w:val="left"/>
      </w:pPr>
      <w:r>
        <w:rPr>
          <w:rFonts w:ascii="Menlo" w:cs="Menlo" w:eastAsia="Menlo" w:hAnsi="Menlo"/>
          <w:color w:val="333333"/>
          <w:sz w:val="19"/>
          <w:szCs w:val="19"/>
        </w:rPr>
        <w:t xml:space="preserve"/>
      </w:r>
    </w:p>
    <w:p>
      <w:pPr>
        <w:spacing w:after="0" w:before="0" w:line="240"/>
        <w:ind w:left="240"/>
        <w:jc w:val="left"/>
      </w:pPr>
      <w:r>
        <w:rPr>
          <w:rFonts w:ascii="Menlo" w:cs="Menlo" w:eastAsia="Menlo" w:hAnsi="Menlo"/>
          <w:color w:val="333333"/>
          <w:sz w:val="19"/>
          <w:szCs w:val="19"/>
        </w:rPr>
        <w:t xml:space="preserve">curl -X POST http://127.0.0.1:8000/v1/scan \</w:t>
      </w:r>
    </w:p>
    <w:p>
      <w:pPr>
        <w:spacing w:after="0" w:before="0" w:line="240"/>
        <w:ind w:left="240"/>
        <w:jc w:val="left"/>
      </w:pPr>
      <w:r>
        <w:rPr>
          <w:rFonts w:ascii="Menlo" w:cs="Menlo" w:eastAsia="Menlo" w:hAnsi="Menlo"/>
          <w:color w:val="333333"/>
          <w:sz w:val="19"/>
          <w:szCs w:val="19"/>
        </w:rPr>
        <w:t xml:space="preserve">  -H 'Content-Type: application/json' \</w:t>
      </w:r>
    </w:p>
    <w:p>
      <w:pPr>
        <w:spacing w:after="0" w:before="0" w:line="240"/>
        <w:ind w:left="240"/>
        <w:jc w:val="left"/>
      </w:pPr>
      <w:r>
        <w:rPr>
          <w:rFonts w:ascii="Menlo" w:cs="Menlo" w:eastAsia="Menlo" w:hAnsi="Menlo"/>
          <w:color w:val="333333"/>
          <w:sz w:val="19"/>
          <w:szCs w:val="19"/>
        </w:rPr>
        <w:t xml:space="preserve">  -d '{"doc_id":"demo-1","text":"A short benign document."}'</w:t>
      </w:r>
    </w:p>
    <w:p>
      <w:pPr>
        <w:spacing w:after="0" w:before="0" w:line="240"/>
        <w:ind w:left="240"/>
        <w:jc w:val="left"/>
      </w:pPr>
      <w:r>
        <w:rPr>
          <w:rFonts w:ascii="Menlo" w:cs="Menlo" w:eastAsia="Menlo" w:hAnsi="Menlo"/>
          <w:color w:val="333333"/>
          <w:sz w:val="19"/>
          <w:szCs w:val="19"/>
        </w:rPr>
        <w:t xml:space="preserve"/>
      </w:r>
    </w:p>
    <w:p>
      <w:pPr>
        <w:spacing w:after="140" w:before="0" w:line="240"/>
        <w:ind w:left="240"/>
        <w:jc w:val="left"/>
      </w:pPr>
      <w:r>
        <w:rPr>
          <w:rFonts w:ascii="Menlo" w:cs="Menlo" w:eastAsia="Menlo" w:hAnsi="Menlo"/>
          <w:color w:val="333333"/>
          <w:sz w:val="19"/>
          <w:szCs w:val="19"/>
        </w:rPr>
        <w:t xml:space="preserve">pytest -q</w:t>
      </w:r>
    </w:p>
    <w:p>
      <w:pPr>
        <w:spacing w:after="120" w:before="120" w:line="276"/>
        <w:jc w:val="both"/>
      </w:pPr>
      <w:r>
        <w:rPr>
          <w:rFonts w:ascii="Helvetica Neue" w:cs="Helvetica Neue" w:eastAsia="Helvetica Neue" w:hAnsi="Helvetica Neue"/>
          <w:i w:val="false"/>
          <w:iCs w:val="false"/>
          <w:color w:val="333333"/>
          <w:sz w:val="22"/>
          <w:szCs w:val="22"/>
        </w:rPr>
        <w:t xml:space="preserve">Interactive API documentation is served at /docs by FastAPI, which is useful for demonstrating the endpoint without a frontend.</w:t>
      </w:r>
    </w:p>
    <w:p>
      <w:pPr>
        <w:pStyle w:val="Heading1"/>
        <w:spacing w:after="120" w:before="360" w:line="240"/>
        <w:jc w:val="left"/>
      </w:pPr>
      <w:r>
        <w:rPr>
          <w:rFonts w:ascii="Helvetica Neue" w:cs="Helvetica Neue" w:eastAsia="Helvetica Neue" w:hAnsi="Helvetica Neue"/>
          <w:b/>
          <w:bCs/>
          <w:color w:val="000000"/>
          <w:sz w:val="36"/>
          <w:szCs w:val="36"/>
        </w:rPr>
        <w:t xml:space="preserve">9. Items carried forward</w:t>
      </w:r>
    </w:p>
    <w:p>
      <w:pPr>
        <w:pStyle w:val="ListParagraph"/>
        <w:numPr>
          <w:ilvl w:val="0"/>
          <w:numId w:val="3"/>
        </w:numPr>
        <w:spacing w:after="80" w:before="80" w:line="276"/>
      </w:pPr>
      <w:r>
        <w:rPr>
          <w:rFonts w:ascii="Helvetica Neue" w:cs="Helvetica Neue" w:eastAsia="Helvetica Neue" w:hAnsi="Helvetica Neue"/>
          <w:color w:val="333333"/>
          <w:sz w:val="22"/>
          <w:szCs w:val="22"/>
        </w:rPr>
        <w:t xml:space="preserve">Dataset format. The project reference specifies JSONL for Phase 2 in one section and JSON files named dataset_train.json and dataset_val.json, with the keys text and label, in the Phase 4 fine-tuning brief. The proposed resolution is a canonical versioned JSONL file carrying the full schema, plus a small export script that emits the two flat JSON files the Colab script expects. This satisfies both without editing the already-written fine-tuning script. To be settled in Phase 2.</w:t>
      </w:r>
    </w:p>
    <w:p>
      <w:pPr>
        <w:pStyle w:val="ListParagraph"/>
        <w:numPr>
          <w:ilvl w:val="0"/>
          <w:numId w:val="3"/>
        </w:numPr>
        <w:spacing w:after="80" w:before="80" w:line="276"/>
      </w:pPr>
      <w:r>
        <w:rPr>
          <w:rFonts w:ascii="Helvetica Neue" w:cs="Helvetica Neue" w:eastAsia="Helvetica Neue" w:hAnsi="Helvetica Neue"/>
          <w:color w:val="333333"/>
          <w:sz w:val="22"/>
          <w:szCs w:val="22"/>
        </w:rPr>
        <w:t xml:space="preserve">Stage 1 fast-reject. Whether a high-confidence heuristic match may send a document straight to a blocked verdict, skipping Stage 2, is not decided. Nothing in Phase 1 implements it, and no architecture diagram should show it yet. The response shape does not preclude it. The decision is best made at the end of Phase 3, using Stage 1's measured precision in its highest score band, so that the threshold can be justified from data rather than asserted.</w:t>
      </w:r>
    </w:p>
    <w:p>
      <w:pPr>
        <w:pStyle w:val="ListParagraph"/>
        <w:numPr>
          <w:ilvl w:val="0"/>
          <w:numId w:val="3"/>
        </w:numPr>
        <w:spacing w:after="80" w:before="80" w:line="276"/>
      </w:pPr>
      <w:r>
        <w:rPr>
          <w:rFonts w:ascii="Helvetica Neue" w:cs="Helvetica Neue" w:eastAsia="Helvetica Neue" w:hAnsi="Helvetica Neue"/>
          <w:color w:val="333333"/>
          <w:sz w:val="22"/>
          <w:szCs w:val="22"/>
        </w:rPr>
        <w:t xml:space="preserve">Metadata serialisation for Stage 2. The classifier consumes a single string, so metadata fields must be joined to the document body before tokenisation. How that join is performed is a Phase 5 decision, and it must be identical during fine-tuning and at inference, or the deployed model will see a format it was never trained on.</w:t>
      </w:r>
    </w:p>
    <w:p>
      <w:pPr>
        <w:pStyle w:val="Heading1"/>
        <w:spacing w:after="120" w:before="360" w:line="240"/>
        <w:jc w:val="left"/>
      </w:pPr>
      <w:r>
        <w:rPr>
          <w:rFonts w:ascii="Helvetica Neue" w:cs="Helvetica Neue" w:eastAsia="Helvetica Neue" w:hAnsi="Helvetica Neue"/>
          <w:b/>
          <w:bCs/>
          <w:color w:val="000000"/>
          <w:sz w:val="36"/>
          <w:szCs w:val="36"/>
        </w:rPr>
        <w:t xml:space="preserve">10. Constraint traceability</w:t>
      </w:r>
    </w:p>
    <w:p>
      <w:pPr>
        <w:spacing w:after="120" w:before="120" w:line="276"/>
        <w:jc w:val="both"/>
      </w:pPr>
      <w:r>
        <w:rPr>
          <w:rFonts w:ascii="Helvetica Neue" w:cs="Helvetica Neue" w:eastAsia="Helvetica Neue" w:hAnsi="Helvetica Neue"/>
          <w:i w:val="false"/>
          <w:iCs w:val="false"/>
          <w:color w:val="333333"/>
          <w:sz w:val="22"/>
          <w:szCs w:val="22"/>
        </w:rPr>
        <w:t xml:space="preserve">Each hard constraint and each honoured exclusion, and where Phase 1 satisfies it.</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3000"/>
        <w:gridCol w:w="5640"/>
      </w:tblGrid>
      <w:tr>
        <w:trPr>
          <w:tblHeader/>
        </w:trPr>
        <w:tc>
          <w:tcPr>
            <w:tcW w:type="dxa" w:w="30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Constraint</w:t>
            </w:r>
          </w:p>
        </w:tc>
        <w:tc>
          <w:tcPr>
            <w:tcW w:type="dxa" w:w="56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How Phase 1 honours it</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CPU-only at runtime; no cloud inference dependency</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 model, no inference SDK and no outbound network call in the dependency set. The service runs under uvicorn on laptop-grade CPU.</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Roughly 350 words per input document</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MAX_WORDS is a named constant, enforced per request, and reported back through word_count and truncated.</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English-language documents only</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 language-detection or translation dependency is introduced.</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Both stages behind a single endpoint</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/v1/scan is the only detection route. stage_1 and stage_2 are fields of one response, not separate endpoints.</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 dual-LLM or judge verification</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 second model of any kind appears in the design.</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 agentic orchestration</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service is a single request-and-response handler, with no tool invocation and no task loop.</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 multimodal handling</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Input is text and string metadata only. No file, image or audio path exists.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Consistency with the submitted Chapter 1</w:t>
            </w:r>
          </w:p>
        </w:tc>
        <w:tc>
          <w:tcPr>
            <w:tcW w:type="dxa" w:w="56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endpoint, the two-stage structure and the constraint set match what Chapter 1 already claims the system does.</w:t>
            </w:r>
          </w:p>
        </w:tc>
      </w:tr>
    </w:tbl>
    <w:sectPr>
      <w:headerReference w:type="default" r:id="rId7"/>
      <w:footerReference w:type="default" r:id="rId8"/>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240"/>
      <w:jc w:val="right"/>
    </w:pPr>
    <w:r>
      <w:rPr>
        <w:rFonts w:ascii="Helvetica Neue" w:cs="Helvetica Neue" w:eastAsia="Helvetica Neue" w:hAnsi="Helvetica Neue"/>
        <w:color w:val="333333"/>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Helvetica Neue" w:cs="Helvetica Neue" w:eastAsia="Helvetica Neue" w:hAnsi="Helvetica Neue"/>
        <w:color w:val="333333"/>
        <w:sz w:val="18"/>
        <w:szCs w:val="18"/>
      </w:rPr>
      <w:t xml:space="preserve">AI Prompt Firewall — Phase 1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line="240"/>
      <w:jc w:val="left"/>
      <w:outlineLvl w:val="0"/>
    </w:pPr>
    <w:rPr>
      <w:rFonts w:ascii="Helvetica Neue" w:cs="Helvetica Neue" w:eastAsia="Helvetica Neue" w:hAnsi="Helvetica Neue"/>
      <w:b/>
      <w:bCs/>
      <w:color w:val="000000"/>
      <w:sz w:val="36"/>
      <w:szCs w:val="36"/>
    </w:rPr>
  </w:style>
  <w:style w:type="paragraph" w:styleId="Heading2">
    <w:name w:val="Heading 2"/>
    <w:basedOn w:val="Normal"/>
    <w:next w:val="Normal"/>
    <w:qFormat/>
    <w:pPr>
      <w:spacing w:after="80" w:before="240" w:line="240"/>
      <w:jc w:val="left"/>
      <w:outlineLvl w:val="1"/>
    </w:pPr>
    <w:rPr>
      <w:rFonts w:ascii="Helvetica Neue" w:cs="Helvetica Neue" w:eastAsia="Helvetica Neue" w:hAnsi="Helvetica Neue"/>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Prompt Firewall — Phase 1 Specification</dc:title>
  <dc:creator>Kamaludeen Abdulkadir</dc:creator>
  <dc:description>FastAPI service skeleton and API contract</dc:description>
  <cp:lastModifiedBy>Un-named</cp:lastModifiedBy>
  <cp:revision>1</cp:revision>
  <dcterms:created xsi:type="dcterms:W3CDTF">2026-09-09T19:56:08.334Z</dcterms:created>
  <dcterms:modified xsi:type="dcterms:W3CDTF">2026-09-09T19:56:08.335Z</dcterms:modified>
</cp:coreProperties>
</file>

<file path=docProps/custom.xml><?xml version="1.0" encoding="utf-8"?>
<Properties xmlns="http://schemas.openxmlformats.org/officeDocument/2006/custom-properties" xmlns:vt="http://schemas.openxmlformats.org/officeDocument/2006/docPropsVTypes"/>
</file>