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before="0" w:after="320" w:line="240" w:lineRule="auto"/>
        <w:jc w:val="right"/>
      </w:pPr>
      <w:r>
        <w:rPr>
          <w:rFonts w:ascii="Calibri" w:hAnsi="Calibri" w:cs="Calibri"/>
          <w:color w:val="808080"/>
          <w:sz w:val="22"/>
        </w:rPr>
        <w:t>Дата отчета 26.08.2026</w:t>
      </w:r>
    </w:p>
    <w:p>
      <w:pPr>
        <w:spacing w:before="0" w:after="300" w:line="240" w:lineRule="auto"/>
        <w:jc w:val="center"/>
      </w:pPr>
      <w:r>
        <w:rPr>
          <w:rFonts w:ascii="Calibri" w:hAnsi="Calibri" w:cs="Calibri"/>
          <w:b/>
          <w:sz w:val="22"/>
        </w:rPr>
        <w:t>Отчет об оценке возможности</w:t>
        <w:br/>
      </w:r>
      <w:r>
        <w:rPr>
          <w:rFonts w:ascii="Calibri" w:hAnsi="Calibri" w:cs="Calibri"/>
          <w:b/>
          <w:sz w:val="22"/>
        </w:rPr>
        <w:t>регистрации товарного знака «КОМПАКТ»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5"/>
        <w:gridCol w:w="6633"/>
      </w:tblGrid>
      <w:tr>
        <w:tc>
          <w:tcPr>
            <w:tcW w:type="dxa" w:w="3005"/>
            <w:shd w:fill="DBE5F1" w:val="clear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sz w:val="22"/>
              </w:rPr>
              <w:t>Поисковые запросы</w:t>
            </w:r>
          </w:p>
        </w:tc>
        <w:tc>
          <w:tcPr>
            <w:tcW w:type="dxa" w:w="66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sz w:val="22"/>
              </w:rPr>
              <w:t>КОМПАКТ, COMPACT</w:t>
            </w:r>
          </w:p>
        </w:tc>
      </w:tr>
      <w:tr>
        <w:tc>
          <w:tcPr>
            <w:tcW w:type="dxa" w:w="3005"/>
            <w:shd w:fill="DBE5F1" w:val="clear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sz w:val="22"/>
              </w:rPr>
              <w:t>Товары и услуги</w:t>
              <w:br/>
              <w:t>согласно перечню МКТУ</w:t>
            </w:r>
          </w:p>
        </w:tc>
        <w:tc>
          <w:tcPr>
            <w:tcW w:type="dxa" w:w="66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sz w:val="22"/>
              </w:rPr>
              <w:t xml:space="preserve">Класс 35: </w:t>
            </w:r>
            <w:r>
              <w:rPr>
                <w:rFonts w:ascii="Calibri" w:hAnsi="Calibri" w:cs="Calibri"/>
                <w:sz w:val="22"/>
              </w:rPr>
              <w:t>реклама; управление бизнесом; организация торговых выставок в коммерческих или рекламных целях</w:t>
            </w:r>
          </w:p>
        </w:tc>
      </w:tr>
    </w:tbl>
    <w:p>
      <w:pPr>
        <w:spacing w:before="0" w:after="6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5"/>
        <w:gridCol w:w="6633"/>
      </w:tblGrid>
      <w:tr>
        <w:tc>
          <w:tcPr>
            <w:tcW w:type="dxa" w:w="3005"/>
            <w:shd w:fill="DBE5F1" w:val="clear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sz w:val="22"/>
              </w:rPr>
              <w:t>Абсолютные основания</w:t>
              <w:br/>
              <w:t>для отказа в регистрации обозначения</w:t>
            </w:r>
          </w:p>
        </w:tc>
        <w:tc>
          <w:tcPr>
            <w:tcW w:type="dxa" w:w="66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sz w:val="22"/>
              </w:rPr>
              <w:t>Отсутствуют</w:t>
            </w:r>
          </w:p>
        </w:tc>
      </w:tr>
      <w:tr>
        <w:tc>
          <w:tcPr>
            <w:tcW w:type="dxa" w:w="3005"/>
            <w:shd w:fill="DBE5F1" w:val="clear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sz w:val="22"/>
              </w:rPr>
              <w:t>Относительные основания</w:t>
              <w:br/>
              <w:t>для отказа в регистрации обозначения</w:t>
            </w:r>
          </w:p>
        </w:tc>
        <w:tc>
          <w:tcPr>
            <w:tcW w:type="dxa" w:w="66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100" w:line="240" w:lineRule="auto"/>
            </w:pPr>
            <w:r>
              <w:rPr>
                <w:rFonts w:ascii="Calibri" w:hAnsi="Calibri" w:cs="Calibri"/>
                <w:sz w:val="22"/>
              </w:rPr>
              <w:t>Найден товарный знак, который может препятствовать регистрации (см. Приложение 1)</w:t>
            </w:r>
          </w:p>
          <w:p>
            <w:pPr>
              <w:spacing w:before="160" w:after="20" w:line="240" w:lineRule="auto"/>
            </w:pPr>
            <w:r>
              <w:rPr>
                <w:rFonts w:ascii="Calibri" w:hAnsi="Calibri" w:cs="Calibri"/>
                <w:i/>
                <w:color w:val="808080"/>
                <w:sz w:val="22"/>
              </w:rPr>
              <w:t>База товарных знаков обновлена 26.08.2026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i/>
                <w:color w:val="808080"/>
                <w:sz w:val="22"/>
              </w:rPr>
              <w:t>База заявок на товарные знаки обновлена 26.08.2026</w:t>
            </w:r>
          </w:p>
        </w:tc>
      </w:tr>
    </w:tbl>
    <w:p>
      <w:pPr>
        <w:spacing w:after="0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638"/>
      </w:tblGrid>
      <w:tr>
        <w:tc>
          <w:tcPr>
            <w:tcW w:type="dxa" w:w="9638"/>
            <w:shd w:fill="C4D79B" w:val="clear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sz w:val="22"/>
              </w:rPr>
              <w:t>ЗАКЛЮЧЕНИЕ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638"/>
      </w:tblGrid>
      <w:tr>
        <w:tc>
          <w:tcPr>
            <w:tcW w:type="dxa" w:w="963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40" w:after="140" w:line="240" w:lineRule="auto"/>
              <w:jc w:val="both"/>
            </w:pPr>
            <w:r>
              <w:rPr>
                <w:rFonts w:ascii="Calibri" w:hAnsi="Calibri" w:cs="Calibri"/>
                <w:b w:val="0"/>
                <w:i w:val="0"/>
                <w:sz w:val="22"/>
              </w:rPr>
              <w:t>В результате проведения проверки обозначения «КОМПАКТ» не найдено препятствий для его регистрации в качестве товарного знака.</w:t>
            </w:r>
          </w:p>
          <w:p>
            <w:pPr>
              <w:spacing w:before="40" w:after="140" w:line="240" w:lineRule="auto"/>
              <w:jc w:val="both"/>
            </w:pPr>
            <w:r>
              <w:rPr>
                <w:rFonts w:ascii="Calibri" w:hAnsi="Calibri" w:cs="Calibri"/>
                <w:b/>
                <w:i w:val="0"/>
                <w:sz w:val="22"/>
              </w:rPr>
              <w:t>Рекомендуем заявлять обозначение «КОМПАКТ» на государственную регистрацию в качестве товарного знака.</w:t>
            </w:r>
          </w:p>
          <w:p>
            <w:pPr>
              <w:spacing w:before="40" w:after="140" w:line="240" w:lineRule="auto"/>
              <w:jc w:val="both"/>
            </w:pPr>
            <w:r>
              <w:rPr>
                <w:rFonts w:ascii="Calibri" w:hAnsi="Calibri" w:cs="Calibri"/>
                <w:b w:val="0"/>
                <w:i/>
                <w:sz w:val="22"/>
              </w:rPr>
              <w:t>Экспертиза заявленного обозначения проводится экспертом ФИПСа (Роспатента), в связи с чем процесс проверки обладает долей субъективизма. В отчете указана часть сходных товарных знаков. Эксперт может противопоставить больше.</w:t>
            </w:r>
          </w:p>
          <w:p>
            <w:pPr>
              <w:spacing w:before="40" w:after="140" w:line="240" w:lineRule="auto"/>
              <w:jc w:val="both"/>
            </w:pPr>
            <w:r>
              <w:rPr>
                <w:rFonts w:ascii="Calibri" w:hAnsi="Calibri" w:cs="Calibri"/>
                <w:b w:val="0"/>
                <w:i/>
                <w:sz w:val="22"/>
              </w:rPr>
              <w:t>Информация, содержащаяся в данном отчете, носит рекомендательный характер. Окончательное решение о соответствии заявленного обозначения требованиям законодательства выносит государственный эксперт.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5"/>
        <w:gridCol w:w="6633"/>
      </w:tblGrid>
      <w:tr>
        <w:tc>
          <w:tcPr>
            <w:tcW w:type="dxa" w:w="3005"/>
            <w:shd w:fill="C4D79B" w:val="clear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sz w:val="22"/>
              </w:rPr>
              <w:t>Вероятность регистрации</w:t>
              <w:br/>
              <w:t>обозначения</w:t>
            </w:r>
          </w:p>
        </w:tc>
        <w:tc>
          <w:tcPr>
            <w:tcW w:type="dxa" w:w="66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sz w:val="22"/>
              </w:rPr>
              <w:t>ВЫШЕ СРЕДНЕЙ</w:t>
            </w:r>
          </w:p>
        </w:tc>
      </w:tr>
    </w:tbl>
    <w:p>
      <w:pPr>
        <w:spacing w:before="160" w:after="0" w:line="240" w:lineRule="auto"/>
        <w:jc w:val="right"/>
      </w:pPr>
      <w:r>
        <w:rPr>
          <w:rFonts w:ascii="Calibri" w:hAnsi="Calibri" w:cs="Calibri"/>
          <w:sz w:val="22"/>
        </w:rPr>
        <w:t>С уважением,</w:t>
        <w:br/>
        <w:t>Дукки Алина</w:t>
        <w:br/>
        <w:t>8-800-222-90-53</w:t>
        <w:br/>
      </w:r>
      <w:hyperlink r:id="rId27">
        <w:r>
          <w:rPr>
            <w:rFonts w:ascii="Calibri" w:hAnsi="Calibri" w:cs="Calibri"/>
            <w:color w:val="0000FF"/>
            <w:u w:val="single"/>
            <w:sz w:val="22"/>
          </w:rPr>
          <w:t>www.patentural.ru</w:t>
        </w:r>
      </w:hyperlink>
    </w:p>
    <w:p>
      <w:pPr>
        <w:spacing w:after="0"/>
      </w:pPr>
      <w:r>
        <w:br w:type="page"/>
      </w:r>
    </w:p>
    <w:p>
      <w:pPr>
        <w:spacing w:before="0" w:after="280" w:line="240" w:lineRule="auto"/>
        <w:jc w:val="right"/>
      </w:pPr>
      <w:r>
        <w:rPr>
          <w:rFonts w:ascii="Calibri" w:hAnsi="Calibri" w:cs="Calibri"/>
          <w:b/>
          <w:sz w:val="22"/>
        </w:rPr>
        <w:t>Приложение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638"/>
      </w:tblGrid>
      <w:tr>
        <w:tc>
          <w:tcPr>
            <w:tcW w:type="dxa" w:w="9638"/>
            <w:shd w:fill="DBE5F1" w:val="clear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sz w:val="22"/>
              </w:rPr>
              <w:t>ТОВАРНЫЕ ЗНАКИ РФ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61"/>
        <w:gridCol w:w="2948"/>
        <w:gridCol w:w="3628"/>
      </w:tblGrid>
      <w:tr>
        <w:tc>
          <w:tcPr>
            <w:tcW w:type="dxa" w:w="3061"/>
            <w:vMerge w:val="restart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sz w:val="22"/>
              </w:rPr>
              <w:t>COMPACT</w:t>
            </w:r>
          </w:p>
        </w:tc>
        <w:tc>
          <w:tcPr>
            <w:tcW w:type="dxa" w:w="29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sz w:val="22"/>
              </w:rPr>
              <w:t>Номер регистрации:</w:t>
            </w:r>
          </w:p>
        </w:tc>
        <w:tc>
          <w:tcPr>
            <w:tcW w:type="dxa" w:w="36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</w:rPr>
              <w:t>123456</w:t>
            </w:r>
          </w:p>
        </w:tc>
      </w:tr>
      <w:tr>
        <w:tc>
          <w:tcPr>
            <w:tcW w:type="dxa" w:w="3213"/>
            <w:vMerge/>
          </w:tcPr>
          <w:p/>
        </w:tc>
        <w:tc>
          <w:tcPr>
            <w:tcW w:type="dxa" w:w="29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sz w:val="22"/>
              </w:rPr>
              <w:t>Дата приоритета:</w:t>
            </w:r>
          </w:p>
        </w:tc>
        <w:tc>
          <w:tcPr>
            <w:tcW w:type="dxa" w:w="36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</w:rPr>
              <w:t>01.01.2020</w:t>
            </w:r>
          </w:p>
        </w:tc>
      </w:tr>
      <w:tr>
        <w:tc>
          <w:tcPr>
            <w:tcW w:type="dxa" w:w="3213"/>
            <w:vMerge/>
          </w:tcPr>
          <w:p/>
        </w:tc>
        <w:tc>
          <w:tcPr>
            <w:tcW w:type="dxa" w:w="29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sz w:val="22"/>
              </w:rPr>
              <w:t>Правообладатель:</w:t>
            </w:r>
          </w:p>
        </w:tc>
        <w:tc>
          <w:tcPr>
            <w:tcW w:type="dxa" w:w="36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</w:rPr>
              <w:t>ООО «Пример»</w:t>
            </w:r>
          </w:p>
        </w:tc>
      </w:tr>
      <w:tr>
        <w:tc>
          <w:tcPr>
            <w:tcW w:type="dxa" w:w="3213"/>
            <w:vMerge/>
          </w:tcPr>
          <w:p/>
        </w:tc>
        <w:tc>
          <w:tcPr>
            <w:tcW w:type="dxa" w:w="29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sz w:val="22"/>
              </w:rPr>
              <w:t>Однородные классы МКТУ:</w:t>
            </w:r>
          </w:p>
        </w:tc>
        <w:tc>
          <w:tcPr>
            <w:tcW w:type="dxa" w:w="36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</w:rPr>
              <w:t>35</w:t>
            </w:r>
          </w:p>
        </w:tc>
      </w:tr>
    </w:tbl>
    <w:p>
      <w:pPr>
        <w:spacing w:before="0" w:after="20" w:line="240" w:lineRule="auto"/>
      </w:pPr>
    </w:p>
    <w:p>
      <w:pPr>
        <w:spacing w:after="0"/>
      </w:pPr>
      <w:r>
        <w:br w:type="page"/>
      </w:r>
    </w:p>
    <w:p>
      <w:pPr>
        <w:spacing w:before="0" w:after="280" w:line="240" w:lineRule="auto"/>
        <w:jc w:val="center"/>
      </w:pPr>
      <w:r>
        <w:rPr>
          <w:rFonts w:ascii="Calibri" w:hAnsi="Calibri" w:cs="Calibri"/>
          <w:b/>
          <w:sz w:val="22"/>
        </w:rPr>
        <w:t>ГОСУДАРСТВЕННЫЕ ПОШЛИНЫ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4"/>
        <w:gridCol w:w="4195"/>
        <w:gridCol w:w="2268"/>
        <w:gridCol w:w="2721"/>
      </w:tblGrid>
      <w:tr>
        <w:tc>
          <w:tcPr>
            <w:tcW w:type="dxa" w:w="454"/>
            <w:shd w:fill="DBE5F1" w:val="clear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sz w:val="22"/>
              </w:rPr>
              <w:t>№</w:t>
            </w:r>
          </w:p>
        </w:tc>
        <w:tc>
          <w:tcPr>
            <w:tcW w:type="dxa" w:w="4195"/>
            <w:shd w:fill="DBE5F1" w:val="clear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sz w:val="22"/>
              </w:rPr>
              <w:t>Пошлины</w:t>
            </w:r>
          </w:p>
        </w:tc>
        <w:tc>
          <w:tcPr>
            <w:tcW w:type="dxa" w:w="2268"/>
            <w:shd w:fill="DBE5F1" w:val="clear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sz w:val="22"/>
              </w:rPr>
              <w:t>Сумма, руб.</w:t>
            </w:r>
          </w:p>
        </w:tc>
        <w:tc>
          <w:tcPr>
            <w:tcW w:type="dxa" w:w="2721"/>
            <w:shd w:fill="DBE5F1" w:val="clear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sz w:val="22"/>
              </w:rPr>
              <w:t>Сроки оплаты</w:t>
            </w:r>
          </w:p>
        </w:tc>
      </w:tr>
      <w:tr>
        <w:tc>
          <w:tcPr>
            <w:tcW w:type="dxa" w:w="45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22"/>
              </w:rPr>
              <w:t>1</w:t>
            </w:r>
          </w:p>
        </w:tc>
        <w:tc>
          <w:tcPr>
            <w:tcW w:type="dxa" w:w="419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sz w:val="22"/>
              </w:rPr>
              <w:t>Государственная пошлина за подачу заявки и проведение экспертизы: 1 класс МКТУ</w:t>
            </w:r>
          </w:p>
        </w:tc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sz w:val="22"/>
              </w:rPr>
              <w:t>17 000 + 500 за каждый товар/услугу свыше 10</w:t>
            </w:r>
          </w:p>
        </w:tc>
        <w:tc>
          <w:tcPr>
            <w:tcW w:type="dxa" w:w="272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22"/>
              </w:rPr>
              <w:t>В течение 2-х месяцев с даты подачи заявки</w:t>
            </w:r>
          </w:p>
        </w:tc>
      </w:tr>
      <w:tr>
        <w:tc>
          <w:tcPr>
            <w:tcW w:type="dxa" w:w="45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22"/>
              </w:rPr>
              <w:t>2</w:t>
            </w:r>
          </w:p>
        </w:tc>
        <w:tc>
          <w:tcPr>
            <w:tcW w:type="dxa" w:w="419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sz w:val="22"/>
              </w:rPr>
              <w:t>Государственная пошлина за регистрацию товарного знака и получение электронного свидетельства: 1 класс МКТУ</w:t>
            </w:r>
          </w:p>
        </w:tc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sz w:val="22"/>
              </w:rPr>
              <w:t>18 000</w:t>
            </w:r>
          </w:p>
        </w:tc>
        <w:tc>
          <w:tcPr>
            <w:tcW w:type="dxa" w:w="272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22"/>
              </w:rPr>
              <w:t>В течение 2-х месяцев с даты решения о регистрации</w:t>
            </w:r>
          </w:p>
        </w:tc>
      </w:tr>
      <w:tr>
        <w:tc>
          <w:tcPr>
            <w:tcW w:type="dxa" w:w="4195"/>
            <w:gridSpan w:val="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sz w:val="22"/>
              </w:rPr>
              <w:t>ИТОГО</w:t>
            </w:r>
          </w:p>
        </w:tc>
        <w:tc>
          <w:tcPr>
            <w:tcW w:type="dxa" w:w="2721"/>
            <w:gridSpan w:val="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sz w:val="22"/>
              </w:rPr>
              <w:t>35 000</w:t>
            </w:r>
          </w:p>
        </w:tc>
      </w:tr>
    </w:tbl>
    <w:p>
      <w:pPr>
        <w:spacing w:before="240" w:after="100" w:line="240" w:lineRule="auto"/>
      </w:pPr>
      <w:r>
        <w:rPr>
          <w:rFonts w:ascii="Calibri" w:hAnsi="Calibri" w:cs="Calibri"/>
          <w:sz w:val="22"/>
        </w:rPr>
        <w:t>Примечание:</w:t>
      </w:r>
    </w:p>
    <w:p>
      <w:pPr>
        <w:spacing w:before="0" w:after="60" w:line="240" w:lineRule="auto"/>
        <w:ind w:left="312" w:hanging="255"/>
        <w:jc w:val="both"/>
      </w:pPr>
      <w:r>
        <w:rPr>
          <w:rFonts w:ascii="Calibri" w:hAnsi="Calibri" w:cs="Calibri"/>
          <w:sz w:val="22"/>
        </w:rPr>
        <w:t>1. Срок действия товарного знака — 10 лет с даты подачи заявки.</w:t>
      </w:r>
    </w:p>
    <w:p>
      <w:pPr>
        <w:spacing w:before="0" w:after="60" w:line="240" w:lineRule="auto"/>
        <w:ind w:left="312" w:hanging="255"/>
        <w:jc w:val="both"/>
      </w:pPr>
      <w:r>
        <w:rPr>
          <w:rFonts w:ascii="Calibri" w:hAnsi="Calibri" w:cs="Calibri"/>
          <w:sz w:val="22"/>
        </w:rPr>
        <w:t>2. Пошлина за подачу заявки может быть оплачена в течение двух месяцев с даты подачи заявки. Однако экспертиза начнется только после оплаты государственной пошлины.</w:t>
      </w:r>
    </w:p>
    <w:p>
      <w:pPr>
        <w:spacing w:before="0" w:after="60" w:line="240" w:lineRule="auto"/>
        <w:ind w:left="312" w:hanging="255"/>
        <w:jc w:val="both"/>
      </w:pPr>
      <w:r>
        <w:rPr>
          <w:rFonts w:ascii="Calibri" w:hAnsi="Calibri" w:cs="Calibri"/>
          <w:sz w:val="22"/>
        </w:rPr>
        <w:t>3. Существует возможность получения свидетельства о регистрации товарного знака в бумажном виде. Дополнительная пошлина за бумажное свидетельство составляет 3 000 руб.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24" w:space="0" w:color="F085AD"/>
          <w:left w:val="single" w:sz="0" w:space="0" w:color="F085AD"/>
          <w:bottom w:val="single" w:sz="24" w:space="0" w:color="F085AD"/>
          <w:right w:val="single" w:sz="0" w:space="0" w:color="F085AD"/>
          <w:insideH w:val="single" w:sz="0" w:space="0" w:color="F085AD"/>
          <w:insideV w:val="single" w:sz="0" w:space="0" w:color="F085AD"/>
        </w:tblBorders>
      </w:tblPr>
      <w:tblGrid>
        <w:gridCol w:w="9638"/>
      </w:tblGrid>
      <w:tr>
        <w:tc>
          <w:tcPr>
            <w:tcW w:type="dxa" w:w="963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 w:cs="Calibri"/>
                <w:b/>
                <w:i/>
                <w:sz w:val="22"/>
              </w:rPr>
              <w:t>Подписывайтесь на нас в соцсетях!</w:t>
            </w:r>
          </w:p>
          <w:p>
            <w:pPr>
              <w:spacing w:before="0" w:after="100" w:line="240" w:lineRule="auto"/>
            </w:pPr>
            <w:r>
              <w:rPr>
                <w:rFonts w:ascii="Calibri" w:hAnsi="Calibri" w:cs="Calibri"/>
                <w:i/>
                <w:sz w:val="22"/>
              </w:rPr>
              <w:t>Рассказываем об интеллектуальной собственности просто и с юмором. Активно делимся яркими моментами, полезной информацией и эксклюзивными новостями.</w:t>
            </w:r>
          </w:p>
          <w:p>
            <w:pPr>
              <w:spacing w:before="0" w:after="0" w:line="240" w:lineRule="auto"/>
              <w:ind w:left="1020"/>
            </w:pPr>
            <w:hyperlink r:id="rId16">
              <w:r>
                <w:rPr>
                  <w:rFonts w:ascii="Calibri" w:hAnsi="Calibri" w:cs="Calibri"/>
                  <w:color w:val="0000FF"/>
                  <w:u w:val="single"/>
                  <w:sz w:val="22"/>
                </w:rPr>
                <w:t>Telegram</w:t>
              </w:r>
            </w:hyperlink>
          </w:p>
          <w:p>
            <w:pPr>
              <w:spacing w:before="0" w:after="0" w:line="240" w:lineRule="auto"/>
              <w:ind w:left="1020"/>
            </w:pPr>
            <w:hyperlink r:id="rId28">
              <w:r>
                <w:rPr>
                  <w:rFonts w:ascii="Calibri" w:hAnsi="Calibri" w:cs="Calibri"/>
                  <w:color w:val="0000FF"/>
                  <w:u w:val="single"/>
                  <w:sz w:val="22"/>
                </w:rPr>
                <w:t>YouTube</w:t>
              </w:r>
            </w:hyperlink>
          </w:p>
          <w:p>
            <w:pPr>
              <w:spacing w:before="0" w:after="0" w:line="240" w:lineRule="auto"/>
              <w:ind w:left="1020"/>
            </w:pPr>
            <w:hyperlink r:id="rId18">
              <w:r>
                <w:rPr>
                  <w:rFonts w:ascii="Calibri" w:hAnsi="Calibri" w:cs="Calibri"/>
                  <w:color w:val="0000FF"/>
                  <w:u w:val="single"/>
                  <w:sz w:val="22"/>
                </w:rPr>
                <w:t>Rutube</w:t>
              </w:r>
            </w:hyperlink>
          </w:p>
          <w:p>
            <w:pPr>
              <w:spacing w:before="0" w:after="0" w:line="240" w:lineRule="auto"/>
              <w:ind w:left="1020"/>
            </w:pPr>
            <w:hyperlink r:id="rId19">
              <w:r>
                <w:rPr>
                  <w:rFonts w:ascii="Calibri" w:hAnsi="Calibri" w:cs="Calibri"/>
                  <w:color w:val="0000FF"/>
                  <w:u w:val="single"/>
                  <w:sz w:val="22"/>
                </w:rPr>
                <w:t>ВКонтакте</w:t>
              </w:r>
            </w:hyperlink>
          </w:p>
          <w:p>
            <w:pPr>
              <w:spacing w:before="0" w:after="0" w:line="240" w:lineRule="auto"/>
              <w:ind w:left="1020"/>
            </w:pPr>
            <w:hyperlink r:id="rId29">
              <w:r>
                <w:rPr>
                  <w:rFonts w:ascii="Calibri" w:hAnsi="Calibri" w:cs="Calibri"/>
                  <w:color w:val="0000FF"/>
                  <w:u w:val="single"/>
                  <w:sz w:val="22"/>
                </w:rPr>
                <w:t>Instagram</w:t>
              </w:r>
            </w:hyperlink>
          </w:p>
          <w:p>
            <w:pPr>
              <w:spacing w:before="60" w:after="80" w:line="240" w:lineRule="auto"/>
            </w:pPr>
            <w:r>
              <w:rPr>
                <w:rFonts w:ascii="Calibri" w:hAnsi="Calibri" w:cs="Calibri"/>
                <w:i/>
                <w:sz w:val="22"/>
              </w:rPr>
              <w:t>*Meta (Instagram) признана экстремистской организацией и запрещена на территории РФ*</w:t>
            </w:r>
          </w:p>
        </w:tc>
      </w:tr>
    </w:tbl>
    <w:sectPr w:rsidR="00B754EC">
      <w:headerReference w:type="default" r:id="rId21"/>
      <w:footerReference w:type="even" r:id="rId22"/>
      <w:footerReference w:type="default" r:id="rId23"/>
      <w:pgSz w:w="11906" w:h="16838"/>
      <w:pgMar w:top="851" w:right="1134" w:bottom="1366" w:left="1134" w:header="47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50356BA" w14:textId="77777777" w:rsidR="00E33B02" w:rsidRDefault="00E33B02">
      <w:r>
        <w:separator/>
      </w:r>
    </w:p>
  </w:endnote>
  <w:endnote w:type="continuationSeparator" w:id="0">
    <w:p w14:paraId="6391734A" w14:textId="77777777" w:rsidR="00E33B02" w:rsidRDefault="00E33B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56B30761-6769-C247-87FD-EF7EBD9FE803}"/>
    <w:embedBold r:id="rId2" w:fontKey="{256B5A8B-BBED-AB4F-A8C2-46D208CFADCD}"/>
    <w:embedItalic r:id="rId3" w:fontKey="{2F1A2447-AEEA-254E-BE5F-7FF4DCDC8D5A}"/>
    <w:embedBoldItalic r:id="rId4" w:fontKey="{2BB66762-3E9B-5D4A-B927-3CAE90F30D6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C14E827-E1A9-504C-9831-8186E0FDAAEA}"/>
    <w:embedBold r:id="rId6" w:fontKey="{AC297A27-19B0-754F-BA6A-DB2C2570771F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7" w:fontKey="{54AA7784-2CC4-4141-A225-7541C9938F1E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8" w:fontKey="{59F12813-7FAE-6246-A10D-9E443CF96B2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9" w:fontKey="{8C4813C1-A84C-1240-A1A8-5E5938D9298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233C1F" w14:textId="77777777" w:rsidR="00B754EC" w:rsidRDefault="008C28A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58C662B4" w14:textId="77777777" w:rsidR="00B754EC" w:rsidRDefault="00B754E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0201D9" w14:textId="77777777" w:rsidR="00B754EC" w:rsidRDefault="008C28A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  <w:sz w:val="22"/>
        <w:szCs w:val="22"/>
      </w:rPr>
    </w:pP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>PAGE</w:instrText>
    </w:r>
    <w:r>
      <w:rPr>
        <w:color w:val="000000"/>
        <w:sz w:val="22"/>
        <w:szCs w:val="22"/>
      </w:rPr>
      <w:fldChar w:fldCharType="separate"/>
    </w:r>
    <w:r w:rsidR="000D3661">
      <w:rPr>
        <w:noProof/>
        <w:color w:val="000000"/>
        <w:sz w:val="22"/>
        <w:szCs w:val="22"/>
      </w:rPr>
      <w:t>1</w:t>
    </w:r>
    <w:r>
      <w:rPr>
        <w:color w:val="000000"/>
        <w:sz w:val="22"/>
        <w:szCs w:val="22"/>
      </w:rPr>
      <w:fldChar w:fldCharType="end"/>
    </w:r>
  </w:p>
  <w:p w14:paraId="2A0DB2FB" w14:textId="77777777" w:rsidR="00B754EC" w:rsidRDefault="00B754E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C38EFA7" w14:textId="77777777" w:rsidR="00E33B02" w:rsidRDefault="00E33B02">
      <w:r>
        <w:separator/>
      </w:r>
    </w:p>
  </w:footnote>
  <w:footnote w:type="continuationSeparator" w:id="0">
    <w:p w14:paraId="02BA9F6E" w14:textId="77777777" w:rsidR="00E33B02" w:rsidRDefault="00E33B02">
      <w:r>
        <w:continuationSeparator/>
      </w:r>
    </w:p>
  </w:footnote>
  <w:footnote w:id="1">
    <w:p w14:paraId="68E04B6F" w14:textId="77777777" w:rsidR="00B754EC" w:rsidRDefault="008C28AB">
      <w:pPr>
        <w:rPr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hyperlink r:id="rId1">
        <w:r>
          <w:rPr>
            <w:color w:val="000000"/>
            <w:sz w:val="20"/>
            <w:szCs w:val="20"/>
            <w:u w:val="single"/>
          </w:rPr>
          <w:t>п.1 ГК РФ Статья 1483</w:t>
        </w:r>
      </w:hyperlink>
      <w:r>
        <w:rPr>
          <w:sz w:val="20"/>
          <w:szCs w:val="20"/>
        </w:rPr>
        <w:t>. Основания для отказа в государственной регистрации товарного знака.</w:t>
      </w:r>
    </w:p>
  </w:footnote>
  <w:footnote w:id="2">
    <w:p w14:paraId="7FBACB0B" w14:textId="77777777" w:rsidR="00B754EC" w:rsidRDefault="008C28A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Наличие тождественных и / или схожих товарных знаков.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219C8A" w14:textId="77777777" w:rsidR="00B754EC" w:rsidRDefault="00B754EC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sz w:val="20"/>
        <w:szCs w:val="20"/>
      </w:rPr>
    </w:pPr>
  </w:p>
  <w:tbl>
    <w:tblPr>
      <w:tblStyle w:val="af1"/>
      <w:tblW w:w="9912" w:type="dxa"/>
      <w:tblInd w:w="-284" w:type="dxa"/>
      <w:tblLayout w:type="fixed"/>
      <w:tblLook w:val="0000" w:firstRow="0" w:lastRow="0" w:firstColumn="0" w:lastColumn="0" w:noHBand="0" w:noVBand="0"/>
    </w:tblPr>
    <w:tblGrid>
      <w:gridCol w:w="4800"/>
      <w:gridCol w:w="5112"/>
    </w:tblGrid>
    <w:tr w:rsidR="00B754EC" w14:paraId="650BDB58" w14:textId="77777777">
      <w:trPr>
        <w:trHeight w:val="1206"/>
      </w:trPr>
      <w:tc>
        <w:tcPr>
          <w:tcW w:w="4800" w:type="dxa"/>
          <w:vAlign w:val="center"/>
        </w:tcPr>
        <w:p w14:paraId="267F4EB9" w14:textId="77777777" w:rsidR="00B754EC" w:rsidRDefault="008C28A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  <w:tab w:val="right" w:pos="9639"/>
            </w:tabs>
            <w:ind w:right="-284"/>
            <w:rPr>
              <w:color w:val="000000"/>
              <w:sz w:val="20"/>
              <w:szCs w:val="20"/>
            </w:rPr>
          </w:pPr>
          <w:r>
            <w:rPr>
              <w:noProof/>
              <w:color w:val="000000"/>
              <w:sz w:val="20"/>
              <w:szCs w:val="20"/>
            </w:rPr>
            <w:drawing>
              <wp:inline distT="0" distB="0" distL="0" distR="0" wp14:anchorId="233FEE71" wp14:editId="66AB2350">
                <wp:extent cx="2970848" cy="514350"/>
                <wp:effectExtent l="0" t="0" r="0" b="0"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t="11776" r="3815" b="117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70848" cy="5143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12" w:type="dxa"/>
          <w:tcBorders>
            <w:bottom w:val="single" w:sz="4" w:space="0" w:color="000000"/>
          </w:tcBorders>
        </w:tcPr>
        <w:p w14:paraId="7CFBDAF5" w14:textId="77777777" w:rsidR="00B754EC" w:rsidRDefault="008C28A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firstLine="742"/>
            <w:jc w:val="righ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4E76B217" wp14:editId="3A9B0A20">
                <wp:extent cx="1207098" cy="663904"/>
                <wp:effectExtent l="0" t="0" r="0" b="0"/>
                <wp:docPr id="2" name="image2.png" descr="C:\Users\Александр\YandexDisk\Царская привилегия\7. ФИРМЕННЫЙ СТИЛЬ\Фирменный стиль\logo\CP_logo-01 - копия - копия (3)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Александр\YandexDisk\Царская привилегия\7. ФИРМЕННЫЙ СТИЛЬ\Фирменный стиль\logo\CP_logo-01 - копия - копия (3)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098" cy="66390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2EA9FDB" w14:textId="77777777" w:rsidR="00B754EC" w:rsidRDefault="00B754EC">
    <w:pPr>
      <w:tabs>
        <w:tab w:val="left" w:pos="2085"/>
        <w:tab w:val="left" w:pos="10305"/>
        <w:tab w:val="left" w:pos="1255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7E434D"/>
    <w:multiLevelType w:val="multilevel"/>
    <w:tmpl w:val="3BACAE8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D82DE5"/>
    <w:multiLevelType w:val="multilevel"/>
    <w:tmpl w:val="CB728EAC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num w:numId="1" w16cid:durableId="2139301667">
    <w:abstractNumId w:val="1"/>
  </w:num>
  <w:num w:numId="2" w16cid:durableId="59671476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4EC"/>
    <w:rsid w:val="0005322B"/>
    <w:rsid w:val="000D3661"/>
    <w:rsid w:val="00153AD4"/>
    <w:rsid w:val="00234AE7"/>
    <w:rsid w:val="002937D8"/>
    <w:rsid w:val="00355E55"/>
    <w:rsid w:val="0041525B"/>
    <w:rsid w:val="004171E5"/>
    <w:rsid w:val="00471D26"/>
    <w:rsid w:val="004F5B58"/>
    <w:rsid w:val="005730DD"/>
    <w:rsid w:val="005C11FC"/>
    <w:rsid w:val="005E71DD"/>
    <w:rsid w:val="005F23FE"/>
    <w:rsid w:val="00703C96"/>
    <w:rsid w:val="00737DCB"/>
    <w:rsid w:val="007F4392"/>
    <w:rsid w:val="00824CBC"/>
    <w:rsid w:val="00841A95"/>
    <w:rsid w:val="008B52D7"/>
    <w:rsid w:val="008C28AB"/>
    <w:rsid w:val="009271ED"/>
    <w:rsid w:val="00956C93"/>
    <w:rsid w:val="009D1BFF"/>
    <w:rsid w:val="00B165AE"/>
    <w:rsid w:val="00B754EC"/>
    <w:rsid w:val="00B849E7"/>
    <w:rsid w:val="00B9296C"/>
    <w:rsid w:val="00BC3942"/>
    <w:rsid w:val="00C20751"/>
    <w:rsid w:val="00CD4765"/>
    <w:rsid w:val="00D964A2"/>
    <w:rsid w:val="00E33B02"/>
    <w:rsid w:val="00E43E2D"/>
    <w:rsid w:val="00F81425"/>
    <w:rsid w:val="00FC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C1E69"/>
  <w15:docId w15:val="{1F6D5C3E-B2EB-734E-AA69-A3A38B4EE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/>
    </w:pPr>
    <w:rPr>
      <w:rFonts w:ascii="Calibri" w:hAnsi="Calibri"/>
      <w:sz w:val="21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af2">
    <w:name w:val="annotation reference"/>
    <w:basedOn w:val="a0"/>
    <w:uiPriority w:val="99"/>
    <w:semiHidden/>
    <w:unhideWhenUsed/>
    <w:rsid w:val="000D3661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0D3661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0D3661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0D3661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0D3661"/>
    <w:rPr>
      <w:b/>
      <w:bCs/>
      <w:sz w:val="20"/>
      <w:szCs w:val="20"/>
    </w:rPr>
  </w:style>
  <w:style w:type="paragraph" w:styleId="af7">
    <w:name w:val="Balloon Text"/>
    <w:basedOn w:val="a"/>
    <w:link w:val="af8"/>
    <w:uiPriority w:val="99"/>
    <w:semiHidden/>
    <w:unhideWhenUsed/>
    <w:rsid w:val="005C11FC"/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0"/>
    <w:link w:val="af7"/>
    <w:uiPriority w:val="99"/>
    <w:semiHidden/>
    <w:rsid w:val="005C11F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482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://www.patentural.ru/" TargetMode="External"/><Relationship Id="rId18" Type="http://schemas.openxmlformats.org/officeDocument/2006/relationships/hyperlink" Target="https://rutube.ru/u/patentural/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mktu.info/" TargetMode="External"/><Relationship Id="rId17" Type="http://schemas.openxmlformats.org/officeDocument/2006/relationships/hyperlink" Target="https://youtube.com/channel/UCSocRtxH36x9FeukIXrAe7A?si=hoFLyESrYZdBydxa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t.me/patentural" TargetMode="External"/><Relationship Id="rId20" Type="http://schemas.openxmlformats.org/officeDocument/2006/relationships/hyperlink" Target="https://www.instagram.com/patentural/profilecard/?igsh=MWt4bXRvb3kxNmFqNQ==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://www.patentural.ru/" TargetMode="External"/><Relationship Id="rId23" Type="http://schemas.openxmlformats.org/officeDocument/2006/relationships/footer" Target="footer2.xml"/><Relationship Id="rId19" Type="http://schemas.openxmlformats.org/officeDocument/2006/relationships/hyperlink" Target="https://vk.com/privilege_cp" TargetMode="External"/><Relationship Id="rId4" Type="http://schemas.openxmlformats.org/officeDocument/2006/relationships/settings" Target="settings.xml"/><Relationship Id="rId14" Type="http://schemas.openxmlformats.org/officeDocument/2006/relationships/hyperlink" Target="http://www.patentural.ru/" TargetMode="External"/><Relationship Id="rId22" Type="http://schemas.openxmlformats.org/officeDocument/2006/relationships/footer" Target="footer1.xml"/><Relationship Id="rId27" Type="http://schemas.openxmlformats.org/officeDocument/2006/relationships/hyperlink" Target="https://www.patentural.ru/" TargetMode="External"/><Relationship Id="rId28" Type="http://schemas.openxmlformats.org/officeDocument/2006/relationships/hyperlink" Target="https://youtube.com/channel/UCSocRtxH36x9FeukIXrAe7A" TargetMode="External"/><Relationship Id="rId29" Type="http://schemas.openxmlformats.org/officeDocument/2006/relationships/hyperlink" Target="https://www.instagram.com/patentural/" TargetMode="Externa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consultant.ru/document/cons_doc_LAW_64629/2e83c7a3d54808ca80d8f0b2a034caa0f7122b57/" TargetMode="Externa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1V9/AYifnN0bu5X7TjRBnlnsEA==">CgMxLjA4AHIhMWNaWWswaGU2M2MxZzBudzlBTGRVaG9RczFiclpHUTJI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686</Words>
  <Characters>3916</Characters>
  <Application>Microsoft Office Word</Application>
  <DocSecurity>0</DocSecurity>
  <Lines>32</Lines>
  <Paragraphs>9</Paragraphs>
  <ScaleCrop>false</ScaleCrop>
  <Company/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Наталья А</dc:creator>
  <cp:lastModifiedBy>Microsoft Office User</cp:lastModifiedBy>
  <cp:revision>3</cp:revision>
  <dcterms:created xsi:type="dcterms:W3CDTF">2026-07-24T07:00:00Z</dcterms:created>
  <dcterms:modified xsi:type="dcterms:W3CDTF">2026-08-17T07:28:00Z</dcterms:modified>
</cp:coreProperties>
</file>