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B3B57"/>
          <w:sz w:val="40"/>
        </w:rPr>
        <w:t>Centre for Artificial Intelligence — Requests Office Portal</w:t>
      </w:r>
    </w:p>
    <w:p>
      <w:pPr>
        <w:spacing w:after="40"/>
        <w:jc w:val="center"/>
      </w:pPr>
      <w:r>
        <w:rPr>
          <w:rFonts w:ascii="Arial" w:hAnsi="Arial"/>
          <w:b/>
          <w:color w:val="2563EB"/>
          <w:sz w:val="26"/>
        </w:rPr>
        <w:t>Comprehensive Full-Stack Internship Architecture Guide &amp; Project Explanation</w:t>
      </w:r>
    </w:p>
    <w:p>
      <w:pPr>
        <w:spacing w:after="40" w:before="0"/>
      </w:pPr>
      <w:r>
        <w:rPr>
          <w:rFonts w:ascii="Arial" w:hAnsi="Arial"/>
          <w:b/>
          <w:color w:val="1B3B57"/>
          <w:sz w:val="20"/>
        </w:rPr>
        <w:t xml:space="preserve">Institution: </w:t>
      </w:r>
      <w:r>
        <w:rPr>
          <w:rFonts w:ascii="Arial" w:hAnsi="Arial"/>
          <w:color w:val="334155"/>
          <w:sz w:val="20"/>
        </w:rPr>
        <w:t>Christ University Central Campus, Bengaluru</w:t>
      </w:r>
    </w:p>
    <w:p>
      <w:pPr>
        <w:spacing w:after="40" w:before="0"/>
      </w:pPr>
      <w:r>
        <w:rPr>
          <w:rFonts w:ascii="Arial" w:hAnsi="Arial"/>
          <w:b/>
          <w:color w:val="1B3B57"/>
          <w:sz w:val="20"/>
        </w:rPr>
        <w:t xml:space="preserve">Repository: </w:t>
      </w:r>
      <w:r>
        <w:rPr>
          <w:rFonts w:ascii="Arial" w:hAnsi="Arial"/>
          <w:color w:val="334155"/>
          <w:sz w:val="20"/>
        </w:rPr>
        <w:t>techaxadi01/CAI-Request-Portal</w:t>
      </w:r>
    </w:p>
    <w:p>
      <w:pPr>
        <w:spacing w:after="40" w:before="0"/>
      </w:pPr>
      <w:r>
        <w:rPr>
          <w:rFonts w:ascii="Arial" w:hAnsi="Arial"/>
          <w:b/>
          <w:color w:val="1B3B57"/>
          <w:sz w:val="20"/>
        </w:rPr>
        <w:t xml:space="preserve">Database: </w:t>
      </w:r>
      <w:r>
        <w:rPr>
          <w:rFonts w:ascii="Arial" w:hAnsi="Arial"/>
          <w:color w:val="334155"/>
          <w:sz w:val="20"/>
        </w:rPr>
        <w:t>MongoDB Atlas (Cluster0 - CAI_Request_Portal)</w:t>
      </w:r>
    </w:p>
    <w:p>
      <w:pPr>
        <w:spacing w:after="40" w:before="0"/>
      </w:pPr>
      <w:r>
        <w:rPr>
          <w:rFonts w:ascii="Arial" w:hAnsi="Arial"/>
          <w:b/>
          <w:color w:val="1B3B57"/>
          <w:sz w:val="20"/>
        </w:rPr>
        <w:t xml:space="preserve">Release Version: </w:t>
      </w:r>
      <w:r>
        <w:rPr>
          <w:rFonts w:ascii="Arial" w:hAnsi="Arial"/>
          <w:color w:val="334155"/>
          <w:sz w:val="20"/>
        </w:rPr>
        <w:t>FINAL VERSION (100% Complete &amp; Document Compliant)</w:t>
      </w:r>
    </w:p>
    <w:p>
      <w:pPr>
        <w:spacing w:after="40" w:before="0"/>
      </w:pPr>
      <w:r>
        <w:rPr>
          <w:rFonts w:ascii="Arial" w:hAnsi="Arial"/>
          <w:b/>
          <w:color w:val="1B3B57"/>
          <w:sz w:val="20"/>
        </w:rPr>
        <w:t xml:space="preserve">Architecture: </w:t>
      </w:r>
      <w:r>
        <w:rPr>
          <w:rFonts w:ascii="Arial" w:hAnsi="Arial"/>
          <w:color w:val="334155"/>
          <w:sz w:val="20"/>
        </w:rPr>
        <w:t>Monorepo (Express 4 API + React 18 SPA on Vite)</w:t>
      </w:r>
    </w:p>
    <w:p>
      <w:pPr>
        <w:spacing w:before="320" w:after="120"/>
      </w:pPr>
      <w:r>
        <w:rPr>
          <w:rFonts w:ascii="Arial" w:hAnsi="Arial"/>
          <w:b/>
          <w:color w:val="1B3B57"/>
          <w:sz w:val="28"/>
        </w:rPr>
        <w:t>1. Executive Overview &amp; Problem Statement</w:t>
      </w:r>
    </w:p>
    <w:p>
      <w:pPr>
        <w:spacing w:after="80" w:before="0" w:line="276" w:lineRule="auto"/>
      </w:pPr>
      <w:r>
        <w:rPr>
          <w:rFonts w:ascii="Arial" w:hAnsi="Arial"/>
          <w:color w:val="334155"/>
          <w:sz w:val="20"/>
        </w:rPr>
        <w:t>The Centre for Artificial Intelligence (CAI) Requests Office coordinates grant applications and equipment procurement across all Christ University campuses.</w:t>
      </w:r>
    </w:p>
    <w:p>
      <w:pPr>
        <w:spacing w:after="80" w:before="0" w:line="276" w:lineRule="auto"/>
      </w:pPr>
      <w:r>
        <w:rPr>
          <w:rFonts w:ascii="Arial" w:hAnsi="Arial"/>
          <w:color w:val="334155"/>
          <w:sz w:val="20"/>
        </w:rPr>
        <w:t>Prior to this digital portal, the office operated on a disjointed combination of campus-specific Excel workbooks, informal emails, and mixed WhatsApp chats. Key deficits solved include: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File Misplacement Eliminated:</w:t>
      </w:r>
      <w:r>
        <w:rPr>
          <w:rFonts w:ascii="Arial" w:hAnsi="Arial"/>
          <w:color w:val="334155"/>
          <w:sz w:val="20"/>
        </w:rPr>
        <w:t xml:space="preserve"> Files are tagged with document types, versions, timestamps, and strictly validated under 10 MB.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Ambiguity Eliminated:</w:t>
      </w:r>
      <w:r>
        <w:rPr>
          <w:rFonts w:ascii="Arial" w:hAnsi="Arial"/>
          <w:color w:val="334155"/>
          <w:sz w:val="20"/>
        </w:rPr>
        <w:t xml:space="preserve"> Requesters track live visual stage indicators across all 6 workflow states.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Wrong Campus Filing Solved:</w:t>
      </w:r>
      <w:r>
        <w:rPr>
          <w:rFonts w:ascii="Arial" w:hAnsi="Arial"/>
          <w:color w:val="334155"/>
          <w:sz w:val="20"/>
        </w:rPr>
        <w:t xml:space="preserve"> Dedicated campus-filtering tabs prevent cross-campus entry mix-ups.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Specialist Usability Solved:</w:t>
      </w:r>
      <w:r>
        <w:rPr>
          <w:rFonts w:ascii="Arial" w:hAnsi="Arial"/>
          <w:color w:val="334155"/>
          <w:sz w:val="20"/>
        </w:rPr>
        <w:t xml:space="preserve"> The external specialist reviews applications in a high-contrast, distraction-free desk with masked applicant identities.</w:t>
      </w:r>
    </w:p>
    <w:p>
      <w:pPr>
        <w:spacing w:before="320" w:after="120"/>
      </w:pPr>
      <w:r>
        <w:rPr>
          <w:rFonts w:ascii="Arial" w:hAnsi="Arial"/>
          <w:b/>
          <w:color w:val="1B3B57"/>
          <w:sz w:val="28"/>
        </w:rPr>
        <w:t>2. Full Assignment Specification Compliance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b3b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Assignment Specification</w:t>
            </w:r>
          </w:p>
        </w:tc>
        <w:tc>
          <w:tcPr>
            <w:tcW w:type="dxa" w:w="5760"/>
            <w:shd w:fill="1b3b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System Implementation &amp; Compliance Details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Three Separate Roles with Login</w:t>
            </w:r>
          </w:p>
        </w:tc>
        <w:tc>
          <w:tcPr>
            <w:tcW w:type="dxa" w:w="576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Dedicated dashboards and strict boundaries for Requester, Coordinator, Specialist.</w:t>
            </w:r>
          </w:p>
        </w:tc>
      </w:tr>
      <w:tr>
        <w:tc>
          <w:tcPr>
            <w:tcW w:type="dxa" w:w="360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Request Travel Lifecycle</w:t>
            </w:r>
          </w:p>
        </w:tc>
        <w:tc>
          <w:tcPr>
            <w:tcW w:type="dxa" w:w="576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Requester -&gt; Coordinator -&gt; Specialist -&gt; Coordinator -&gt; Requester Confirmation -&gt; Completed.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Data Boundary Isolation</w:t>
            </w:r>
          </w:p>
        </w:tc>
        <w:tc>
          <w:tcPr>
            <w:tcW w:type="dxa" w:w="576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Specialist evaluates technical files without seeing requester personal email or contacts.</w:t>
            </w:r>
          </w:p>
        </w:tc>
      </w:tr>
      <w:tr>
        <w:tc>
          <w:tcPr>
            <w:tcW w:type="dxa" w:w="360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Demo Accounts Required</w:t>
            </w:r>
          </w:p>
        </w:tc>
        <w:tc>
          <w:tcPr>
            <w:tcW w:type="dxa" w:w="576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Pre-configured accounts for Coordinator, Specialist, and 2 Requesters from different campuses.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Sample Requests</w:t>
            </w:r>
          </w:p>
        </w:tc>
        <w:tc>
          <w:tcPr>
            <w:tcW w:type="dxa" w:w="576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6 complete realistic requests covering all 6 workflow states and all 6 Christ campuses.</w:t>
            </w:r>
          </w:p>
        </w:tc>
      </w:tr>
      <w:tr>
        <w:tc>
          <w:tcPr>
            <w:tcW w:type="dxa" w:w="360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Home Page Mandatory Text</w:t>
            </w:r>
          </w:p>
        </w:tc>
        <w:tc>
          <w:tcPr>
            <w:tcW w:type="dxa" w:w="576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Verbatim quote box + 6 structured key fact cards published on public visitor page.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Mandatory Attachments</w:t>
            </w:r>
          </w:p>
        </w:tc>
        <w:tc>
          <w:tcPr>
            <w:tcW w:type="dxa" w:w="576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Signed Covering Letter, Description Brief, Quotations/Invoices (&lt;10 MB readable files).</w:t>
            </w:r>
          </w:p>
        </w:tc>
      </w:tr>
      <w:tr>
        <w:tc>
          <w:tcPr>
            <w:tcW w:type="dxa" w:w="360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Intake Turnaround (2 Days)</w:t>
            </w:r>
          </w:p>
        </w:tc>
        <w:tc>
          <w:tcPr>
            <w:tcW w:type="dxa" w:w="576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Enforced on timeline and Coordinator queue within 2 working days turnaround window.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Expert Review (7 Days)</w:t>
            </w:r>
          </w:p>
        </w:tc>
        <w:tc>
          <w:tcPr>
            <w:tcW w:type="dxa" w:w="576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Tracked on Specialist desk with 7-day turnaround badges.</w:t>
            </w:r>
          </w:p>
        </w:tc>
      </w:tr>
      <w:tr>
        <w:tc>
          <w:tcPr>
            <w:tcW w:type="dxa" w:w="360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No Direct Expert Contact</w:t>
            </w:r>
          </w:p>
        </w:tc>
        <w:tc>
          <w:tcPr>
            <w:tcW w:type="dxa" w:w="576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Coordinator mediates all questions; requester never deals with expert directly.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Mandatory Closure Confirmation</w:t>
            </w:r>
          </w:p>
        </w:tc>
        <w:tc>
          <w:tcPr>
            <w:tcW w:type="dxa" w:w="576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Decision Made state requires formal requester confirmation before request is marked Completed.</w:t>
            </w:r>
          </w:p>
        </w:tc>
      </w:tr>
      <w:tr>
        <w:tc>
          <w:tcPr>
            <w:tcW w:type="dxa" w:w="360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Helpline &amp; Office Hours</w:t>
            </w:r>
          </w:p>
        </w:tc>
        <w:tc>
          <w:tcPr>
            <w:tcW w:type="dxa" w:w="5760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Mon-Fri 9:30 AM - 4:30 PM &amp; Helpline 080 0000 0000 displayed across footer and home page.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Arial" w:hAnsi="Arial"/>
          <w:b/>
          <w:color w:val="1B3B57"/>
          <w:sz w:val="28"/>
        </w:rPr>
        <w:t>3. Three-Role Workflow &amp; Fast Evaluator Sandbox</w:t>
      </w:r>
    </w:p>
    <w:p>
      <w:pPr>
        <w:spacing w:after="80" w:before="0" w:line="276" w:lineRule="auto"/>
      </w:pPr>
      <w:r>
        <w:rPr>
          <w:rFonts w:ascii="Arial" w:hAnsi="Arial"/>
          <w:color w:val="334155"/>
          <w:sz w:val="20"/>
        </w:rPr>
        <w:t>The application implements clean separation between role descriptions and interactive demo accounts:</w:t>
      </w:r>
    </w:p>
    <w:p>
      <w:pPr>
        <w:spacing w:before="200" w:after="80"/>
      </w:pPr>
      <w:r>
        <w:rPr>
          <w:rFonts w:ascii="Arial" w:hAnsi="Arial"/>
          <w:b/>
          <w:color w:val="2563EB"/>
          <w:sz w:val="23"/>
        </w:rPr>
        <w:t>A. Three-Role Separation Section (Role Descriptions &amp; Boundaries)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1. Requesters:</w:t>
      </w:r>
      <w:r>
        <w:rPr>
          <w:rFonts w:ascii="Arial" w:hAnsi="Arial"/>
          <w:color w:val="334155"/>
          <w:sz w:val="20"/>
        </w:rPr>
        <w:t xml:space="preserve"> Faculty and students submit applications with attachments (&lt;10 MB), track live progress, submit fixes, and formally confirm decisions.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2. Coordinator (Prof. Rajesh Nair):</w:t>
      </w:r>
      <w:r>
        <w:rPr>
          <w:rFonts w:ascii="Arial" w:hAnsi="Arial"/>
          <w:color w:val="334155"/>
          <w:sz w:val="20"/>
        </w:rPr>
        <w:t xml:space="preserve"> Central office gatekeeper who verifies documents within 2 working days, filters requests by campus, routes to specialist, and sanctions outcomes.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3. Specialist (Dr. K. S. Ramanathan):</w:t>
      </w:r>
      <w:r>
        <w:rPr>
          <w:rFonts w:ascii="Arial" w:hAnsi="Arial"/>
          <w:color w:val="334155"/>
          <w:sz w:val="20"/>
        </w:rPr>
        <w:t xml:space="preserve"> External technical consultant with WhatsApp-clean review desk, 7-day review SLA, privacy-masked applicant emails, and 1-click recommendations.</w:t>
      </w:r>
    </w:p>
    <w:p>
      <w:pPr>
        <w:spacing w:before="200" w:after="80"/>
      </w:pPr>
      <w:r>
        <w:rPr>
          <w:rFonts w:ascii="Arial" w:hAnsi="Arial"/>
          <w:b/>
          <w:color w:val="2563EB"/>
          <w:sz w:val="23"/>
        </w:rPr>
        <w:t>B. Fast Evaluator Sandbox (Dedicated 1-Click Interactive Demo Access)</w:t>
      </w:r>
    </w:p>
    <w:p>
      <w:pPr>
        <w:spacing w:after="80" w:before="0" w:line="276" w:lineRule="auto"/>
      </w:pPr>
      <w:r>
        <w:rPr>
          <w:rFonts w:ascii="Arial" w:hAnsi="Arial"/>
          <w:color w:val="334155"/>
          <w:sz w:val="20"/>
        </w:rPr>
        <w:t>A dedicated quick-access section on the Home Page providing 1-click login into all 4 demo personas (default password: password123):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Log in as Requester 1 (Faculty):</w:t>
      </w:r>
      <w:r>
        <w:rPr>
          <w:rFonts w:ascii="Arial" w:hAnsi="Arial"/>
          <w:color w:val="334155"/>
          <w:sz w:val="20"/>
        </w:rPr>
        <w:t xml:space="preserve"> Dr. Anita Sharma (Central Campus) - AI GPU workstation request under review.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Log in as Requester 2 (Student):</w:t>
      </w:r>
      <w:r>
        <w:rPr>
          <w:rFonts w:ascii="Arial" w:hAnsi="Arial"/>
          <w:color w:val="334155"/>
          <w:sz w:val="20"/>
        </w:rPr>
        <w:t xml:space="preserve"> Priya Sundaram (BGR Campus) - IEEE conference travel grant with requested fixes.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Log in as Coordinator Demo:</w:t>
      </w:r>
      <w:r>
        <w:rPr>
          <w:rFonts w:ascii="Arial" w:hAnsi="Arial"/>
          <w:color w:val="334155"/>
          <w:sz w:val="20"/>
        </w:rPr>
        <w:t xml:space="preserve"> Prof. Rajesh Nair (Central Office) - Full intake pipeline, campus filtering &amp; sanctioning.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Log in as Specialist Demo:</w:t>
      </w:r>
      <w:r>
        <w:rPr>
          <w:rFonts w:ascii="Arial" w:hAnsi="Arial"/>
          <w:color w:val="334155"/>
          <w:sz w:val="20"/>
        </w:rPr>
        <w:t xml:space="preserve"> Dr. K. S. Ramanathan (Advisory Panel) - Technical assessment &amp; recommendation feed.</w:t>
      </w:r>
    </w:p>
    <w:p>
      <w:pPr>
        <w:spacing w:before="320" w:after="120"/>
      </w:pPr>
      <w:r>
        <w:rPr>
          <w:rFonts w:ascii="Arial" w:hAnsi="Arial"/>
          <w:b/>
          <w:color w:val="1B3B57"/>
          <w:sz w:val="28"/>
        </w:rPr>
        <w:t>4. All 6 Workflow States &amp; Demonstration Data Distribution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b3b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Tracking ID</w:t>
            </w:r>
          </w:p>
        </w:tc>
        <w:tc>
          <w:tcPr>
            <w:tcW w:type="dxa" w:w="2592"/>
            <w:shd w:fill="1b3b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Workflow State</w:t>
            </w:r>
          </w:p>
        </w:tc>
        <w:tc>
          <w:tcPr>
            <w:tcW w:type="dxa" w:w="1728"/>
            <w:shd w:fill="1b3b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Campus</w:t>
            </w:r>
          </w:p>
        </w:tc>
        <w:tc>
          <w:tcPr>
            <w:tcW w:type="dxa" w:w="2016"/>
            <w:shd w:fill="1b3b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728"/>
            <w:shd w:fill="1b3b5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Requester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CAI-2026-004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Submitted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Yeshwanthpur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Hardware &amp; Equipment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Priya Sundaram</w:t>
            </w:r>
          </w:p>
        </w:tc>
      </w:tr>
      <w:tr>
        <w:tc>
          <w:tcPr>
            <w:tcW w:type="dxa" w:w="1728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CAI-2026-002</w:t>
            </w:r>
          </w:p>
        </w:tc>
        <w:tc>
          <w:tcPr>
            <w:tcW w:type="dxa" w:w="2592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Changes Requested</w:t>
            </w:r>
          </w:p>
        </w:tc>
        <w:tc>
          <w:tcPr>
            <w:tcW w:type="dxa" w:w="1728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BGR Campus</w:t>
            </w:r>
          </w:p>
        </w:tc>
        <w:tc>
          <w:tcPr>
            <w:tcW w:type="dxa" w:w="2016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Travel &amp; Conference Grant</w:t>
            </w:r>
          </w:p>
        </w:tc>
        <w:tc>
          <w:tcPr>
            <w:tcW w:type="dxa" w:w="1728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Priya Sundaram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CAI-2026-001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Under Specialist Review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Central Campus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Hardware &amp; Equipment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Dr. Anita Sharma</w:t>
            </w:r>
          </w:p>
        </w:tc>
      </w:tr>
      <w:tr>
        <w:tc>
          <w:tcPr>
            <w:tcW w:type="dxa" w:w="1728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CAI-2026-006</w:t>
            </w:r>
          </w:p>
        </w:tc>
        <w:tc>
          <w:tcPr>
            <w:tcW w:type="dxa" w:w="2592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Specialist Feedback Received</w:t>
            </w:r>
          </w:p>
        </w:tc>
        <w:tc>
          <w:tcPr>
            <w:tcW w:type="dxa" w:w="1728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Pune Lavasa</w:t>
            </w:r>
          </w:p>
        </w:tc>
        <w:tc>
          <w:tcPr>
            <w:tcW w:type="dxa" w:w="2016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Hardware &amp; Equipment</w:t>
            </w:r>
          </w:p>
        </w:tc>
        <w:tc>
          <w:tcPr>
            <w:tcW w:type="dxa" w:w="1728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Priya Sundaram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CAI-2026-003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Decision Made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Kengeri Campus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Software &amp; Licenses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Dr. Anita Sharma</w:t>
            </w:r>
          </w:p>
        </w:tc>
      </w:tr>
      <w:tr>
        <w:tc>
          <w:tcPr>
            <w:tcW w:type="dxa" w:w="1728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CAI-2026-005</w:t>
            </w:r>
          </w:p>
        </w:tc>
        <w:tc>
          <w:tcPr>
            <w:tcW w:type="dxa" w:w="2592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Completed</w:t>
            </w:r>
          </w:p>
        </w:tc>
        <w:tc>
          <w:tcPr>
            <w:tcW w:type="dxa" w:w="1728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Delhi NCR Campus</w:t>
            </w:r>
          </w:p>
        </w:tc>
        <w:tc>
          <w:tcPr>
            <w:tcW w:type="dxa" w:w="2016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Research Grant &amp; Subscriptions</w:t>
            </w:r>
          </w:p>
        </w:tc>
        <w:tc>
          <w:tcPr>
            <w:tcW w:type="dxa" w:w="1728"/>
            <w:shd w:fill="F1F5F9"/>
          </w:tcPr>
          <w:p>
            <w:r>
              <w:rPr>
                <w:rFonts w:ascii="Arial" w:hAnsi="Arial"/>
                <w:color w:val="334155"/>
                <w:sz w:val="18"/>
              </w:rPr>
              <w:t>Dr. Anita Sharma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Arial" w:hAnsi="Arial"/>
          <w:b/>
          <w:color w:val="1B3B57"/>
          <w:sz w:val="28"/>
        </w:rPr>
        <w:t>5. Security &amp; Password Encryption Architecture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Bcryptjs Salting:</w:t>
      </w:r>
      <w:r>
        <w:rPr>
          <w:rFonts w:ascii="Arial" w:hAnsi="Arial"/>
          <w:color w:val="334155"/>
          <w:sz w:val="20"/>
        </w:rPr>
        <w:t xml:space="preserve"> All user passwords are encrypted using bcryptjs with dynamic 10-round salting before storage in MongoDB Atlas.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Plaintext Protection:</w:t>
      </w:r>
      <w:r>
        <w:rPr>
          <w:rFonts w:ascii="Arial" w:hAnsi="Arial"/>
          <w:color w:val="334155"/>
          <w:sz w:val="20"/>
        </w:rPr>
        <w:t xml:space="preserve"> Plaintext passwords are never stored in the database or exposed via API query projections.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Idempotence Guard:</w:t>
      </w:r>
      <w:r>
        <w:rPr>
          <w:rFonts w:ascii="Arial" w:hAnsi="Arial"/>
          <w:color w:val="334155"/>
          <w:sz w:val="20"/>
        </w:rPr>
        <w:t xml:space="preserve"> User schema includes idempotence guards to prevent re-hashing already encrypted hashes.</w:t>
      </w:r>
    </w:p>
    <w:p>
      <w:pPr>
        <w:spacing w:before="320" w:after="120"/>
      </w:pPr>
      <w:r>
        <w:rPr>
          <w:rFonts w:ascii="Arial" w:hAnsi="Arial"/>
          <w:b/>
          <w:color w:val="1B3B57"/>
          <w:sz w:val="28"/>
        </w:rPr>
        <w:t>6. Cloud Deployment &amp; Running Locally</w:t>
      </w:r>
    </w:p>
    <w:p>
      <w:pPr>
        <w:spacing w:after="80" w:before="0" w:line="276" w:lineRule="auto"/>
      </w:pPr>
      <w:r>
        <w:rPr>
          <w:rFonts w:ascii="Arial" w:hAnsi="Arial"/>
          <w:color w:val="334155"/>
          <w:sz w:val="20"/>
        </w:rPr>
        <w:t>The application is configured as a monorepo for seamless single-domain hosting on Vercel: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Step 1:</w:t>
      </w:r>
      <w:r>
        <w:rPr>
          <w:rFonts w:ascii="Arial" w:hAnsi="Arial"/>
          <w:color w:val="334155"/>
          <w:sz w:val="20"/>
        </w:rPr>
        <w:t xml:space="preserve"> Push 'CAI Request Portal' to GitHub repository (techaxadi01/CAI-Request-Portal).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Step 2:</w:t>
      </w:r>
      <w:r>
        <w:rPr>
          <w:rFonts w:ascii="Arial" w:hAnsi="Arial"/>
          <w:color w:val="334155"/>
          <w:sz w:val="20"/>
        </w:rPr>
        <w:t xml:space="preserve"> In MongoDB Atlas Network Access, ensure 0.0.0.0/0 is enabled.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Step 3:</w:t>
      </w:r>
      <w:r>
        <w:rPr>
          <w:rFonts w:ascii="Arial" w:hAnsi="Arial"/>
          <w:color w:val="334155"/>
          <w:sz w:val="20"/>
        </w:rPr>
        <w:t xml:space="preserve"> Import GitHub repository into Vercel (vercel.json automatically configures API rewrites).</w:t>
      </w:r>
    </w:p>
    <w:p>
      <w:pPr>
        <w:pStyle w:val="ListBullet"/>
        <w:spacing w:after="60" w:before="0" w:line="276" w:lineRule="auto"/>
      </w:pPr>
      <w:r>
        <w:rPr>
          <w:rFonts w:ascii="Arial" w:hAnsi="Arial"/>
          <w:b/>
          <w:color w:val="334155"/>
          <w:sz w:val="20"/>
        </w:rPr>
        <w:t>Step 4:</w:t>
      </w:r>
      <w:r>
        <w:rPr>
          <w:rFonts w:ascii="Arial" w:hAnsi="Arial"/>
          <w:color w:val="334155"/>
          <w:sz w:val="20"/>
        </w:rPr>
        <w:t xml:space="preserve"> Add MONGO_URI, PORT (5000), and JWT_SECRET under Environment Variables.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