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35D3" w14:textId="77777777" w:rsidR="000B4946" w:rsidRPr="005A1DC6" w:rsidRDefault="000B4946" w:rsidP="000B4946"/>
    <w:p w14:paraId="68B38CAF" w14:textId="77777777" w:rsidR="000B4946" w:rsidRPr="00CB6D89" w:rsidRDefault="000B4946" w:rsidP="000B4946">
      <w:pPr>
        <w:spacing w:after="0"/>
        <w:jc w:val="center"/>
        <w:rPr>
          <w:b/>
          <w:bCs/>
          <w:sz w:val="44"/>
          <w:szCs w:val="44"/>
          <w:u w:val="single"/>
        </w:rPr>
      </w:pPr>
      <w:r w:rsidRPr="00CB6D89">
        <w:rPr>
          <w:b/>
          <w:bCs/>
          <w:sz w:val="44"/>
          <w:szCs w:val="44"/>
          <w:u w:val="single"/>
        </w:rPr>
        <w:t>CHRIST (Deemed to be University)</w:t>
      </w:r>
    </w:p>
    <w:p w14:paraId="4B28F5C8" w14:textId="77777777" w:rsidR="000B4946" w:rsidRPr="00CB6D89" w:rsidRDefault="000B4946" w:rsidP="000B4946">
      <w:pPr>
        <w:spacing w:after="0"/>
        <w:jc w:val="center"/>
        <w:rPr>
          <w:b/>
          <w:bCs/>
          <w:sz w:val="44"/>
          <w:szCs w:val="44"/>
          <w:u w:val="single"/>
        </w:rPr>
      </w:pPr>
      <w:r w:rsidRPr="00CB6D89">
        <w:rPr>
          <w:b/>
          <w:bCs/>
          <w:sz w:val="44"/>
          <w:szCs w:val="44"/>
          <w:u w:val="single"/>
        </w:rPr>
        <w:t>Department of Computer Science</w:t>
      </w:r>
    </w:p>
    <w:p w14:paraId="7D69DC2F" w14:textId="77777777" w:rsidR="000B4946" w:rsidRDefault="000B4946" w:rsidP="000B4946">
      <w:pPr>
        <w:spacing w:after="0"/>
        <w:jc w:val="center"/>
        <w:rPr>
          <w:b/>
          <w:bCs/>
          <w:sz w:val="36"/>
          <w:szCs w:val="36"/>
          <w:u w:val="single"/>
        </w:rPr>
      </w:pPr>
      <w:r w:rsidRPr="00CB6D89">
        <w:rPr>
          <w:b/>
          <w:bCs/>
          <w:sz w:val="44"/>
          <w:szCs w:val="44"/>
          <w:u w:val="single"/>
        </w:rPr>
        <w:t>Master of Computer Applications</w:t>
      </w:r>
      <w:r>
        <w:rPr>
          <w:b/>
          <w:bCs/>
          <w:sz w:val="36"/>
          <w:szCs w:val="36"/>
          <w:u w:val="single"/>
        </w:rPr>
        <w:br/>
      </w:r>
    </w:p>
    <w:p w14:paraId="6130F1CE" w14:textId="77777777" w:rsidR="000B4946" w:rsidRPr="00CB6D89" w:rsidRDefault="000B4946" w:rsidP="000B4946">
      <w:pPr>
        <w:spacing w:after="0"/>
        <w:jc w:val="center"/>
        <w:rPr>
          <w:sz w:val="28"/>
          <w:szCs w:val="28"/>
        </w:rPr>
      </w:pPr>
      <w:r>
        <w:rPr>
          <w:b/>
          <w:bCs/>
          <w:sz w:val="36"/>
          <w:szCs w:val="36"/>
          <w:u w:val="single"/>
        </w:rPr>
        <w:br/>
      </w:r>
    </w:p>
    <w:p w14:paraId="2DB95A0F" w14:textId="77777777" w:rsidR="000B4946" w:rsidRPr="00CB6D89" w:rsidRDefault="000B4946" w:rsidP="000B4946">
      <w:pPr>
        <w:spacing w:after="0"/>
        <w:rPr>
          <w:sz w:val="36"/>
          <w:szCs w:val="36"/>
        </w:rPr>
      </w:pPr>
      <w:r w:rsidRPr="00B86418">
        <w:rPr>
          <w:b/>
          <w:bCs/>
          <w:sz w:val="36"/>
          <w:szCs w:val="36"/>
        </w:rPr>
        <w:t>Course:</w:t>
      </w:r>
      <w:r w:rsidRPr="00CB6D89">
        <w:rPr>
          <w:sz w:val="36"/>
          <w:szCs w:val="36"/>
        </w:rPr>
        <w:t xml:space="preserve"> MCA41</w:t>
      </w:r>
      <w:r>
        <w:rPr>
          <w:sz w:val="36"/>
          <w:szCs w:val="36"/>
        </w:rPr>
        <w:t>2</w:t>
      </w:r>
      <w:r w:rsidRPr="00CB6D89">
        <w:rPr>
          <w:sz w:val="36"/>
          <w:szCs w:val="36"/>
        </w:rPr>
        <w:t>-</w:t>
      </w:r>
      <w:r>
        <w:rPr>
          <w:sz w:val="36"/>
          <w:szCs w:val="36"/>
        </w:rPr>
        <w:t>2</w:t>
      </w:r>
      <w:r w:rsidRPr="00CB6D89">
        <w:rPr>
          <w:sz w:val="36"/>
          <w:szCs w:val="36"/>
        </w:rPr>
        <w:t xml:space="preserve"> - </w:t>
      </w:r>
      <w:r w:rsidRPr="00BA10B9">
        <w:rPr>
          <w:sz w:val="36"/>
          <w:szCs w:val="36"/>
        </w:rPr>
        <w:t>Research Methodology</w:t>
      </w:r>
    </w:p>
    <w:p w14:paraId="3AC0AC58" w14:textId="110126B8" w:rsidR="000B4946" w:rsidRDefault="000B4946" w:rsidP="000B4946">
      <w:pPr>
        <w:spacing w:after="0"/>
        <w:rPr>
          <w:sz w:val="36"/>
          <w:szCs w:val="36"/>
        </w:rPr>
      </w:pPr>
      <w:r w:rsidRPr="00B86418">
        <w:rPr>
          <w:b/>
          <w:bCs/>
          <w:sz w:val="36"/>
          <w:szCs w:val="36"/>
        </w:rPr>
        <w:t xml:space="preserve">LAB Exercise </w:t>
      </w:r>
      <w:r>
        <w:rPr>
          <w:b/>
          <w:bCs/>
          <w:sz w:val="36"/>
          <w:szCs w:val="36"/>
        </w:rPr>
        <w:t>V</w:t>
      </w:r>
      <w:r w:rsidRPr="00CB6D89">
        <w:rPr>
          <w:sz w:val="36"/>
          <w:szCs w:val="36"/>
        </w:rPr>
        <w:t xml:space="preserve"> – </w:t>
      </w:r>
    </w:p>
    <w:p w14:paraId="0CA07CF8" w14:textId="3522BB07" w:rsidR="000B4946" w:rsidRPr="00D8612C" w:rsidRDefault="00F86A48" w:rsidP="000B4946">
      <w:pPr>
        <w:spacing w:after="0"/>
        <w:ind w:firstLine="720"/>
        <w:rPr>
          <w:sz w:val="34"/>
          <w:szCs w:val="34"/>
        </w:rPr>
      </w:pPr>
      <w:r w:rsidRPr="00F86A48">
        <w:rPr>
          <w:sz w:val="34"/>
          <w:szCs w:val="34"/>
        </w:rPr>
        <w:t>Literature Review</w:t>
      </w:r>
      <w:r w:rsidR="000B4946" w:rsidRPr="00135953">
        <w:rPr>
          <w:sz w:val="34"/>
          <w:szCs w:val="34"/>
        </w:rPr>
        <w:t>.</w:t>
      </w:r>
      <w:r w:rsidR="000B4946" w:rsidRPr="00D8612C">
        <w:rPr>
          <w:sz w:val="34"/>
          <w:szCs w:val="34"/>
        </w:rPr>
        <w:br/>
      </w:r>
      <w:r w:rsidR="000B4946" w:rsidRPr="00D8612C">
        <w:rPr>
          <w:sz w:val="34"/>
          <w:szCs w:val="34"/>
        </w:rPr>
        <w:br/>
      </w:r>
    </w:p>
    <w:p w14:paraId="03E6F723" w14:textId="75546D58" w:rsidR="000B4946" w:rsidRPr="00CB6D89" w:rsidRDefault="000B4946" w:rsidP="000B4946">
      <w:pPr>
        <w:spacing w:after="0"/>
        <w:rPr>
          <w:sz w:val="28"/>
          <w:szCs w:val="28"/>
        </w:rPr>
      </w:pPr>
      <w:r w:rsidRPr="00CB6D89">
        <w:rPr>
          <w:sz w:val="28"/>
          <w:szCs w:val="28"/>
        </w:rPr>
        <w:t xml:space="preserve">Date of assignment: </w:t>
      </w:r>
      <w:r w:rsidR="00F86A48">
        <w:rPr>
          <w:sz w:val="28"/>
          <w:szCs w:val="28"/>
        </w:rPr>
        <w:t>06</w:t>
      </w:r>
      <w:r w:rsidRPr="00CB6D89">
        <w:rPr>
          <w:sz w:val="28"/>
          <w:szCs w:val="28"/>
        </w:rPr>
        <w:t>-</w:t>
      </w:r>
      <w:r w:rsidR="00F86A48">
        <w:rPr>
          <w:sz w:val="28"/>
          <w:szCs w:val="28"/>
        </w:rPr>
        <w:t>10</w:t>
      </w:r>
      <w:r w:rsidRPr="00CB6D89">
        <w:rPr>
          <w:sz w:val="28"/>
          <w:szCs w:val="28"/>
        </w:rPr>
        <w:t xml:space="preserve">-2026 </w:t>
      </w:r>
    </w:p>
    <w:p w14:paraId="4EA3A04D" w14:textId="6BE7ECC9" w:rsidR="000B4946" w:rsidRDefault="000B4946" w:rsidP="000B4946">
      <w:pPr>
        <w:spacing w:after="0"/>
        <w:rPr>
          <w:sz w:val="28"/>
          <w:szCs w:val="28"/>
        </w:rPr>
      </w:pPr>
      <w:r w:rsidRPr="00CB6D89">
        <w:rPr>
          <w:sz w:val="28"/>
          <w:szCs w:val="28"/>
        </w:rPr>
        <w:t xml:space="preserve">Date of submission: </w:t>
      </w:r>
      <w:r w:rsidR="00F86A48">
        <w:rPr>
          <w:sz w:val="28"/>
          <w:szCs w:val="28"/>
        </w:rPr>
        <w:t>11</w:t>
      </w:r>
      <w:r w:rsidRPr="00CB6D89">
        <w:rPr>
          <w:sz w:val="28"/>
          <w:szCs w:val="28"/>
        </w:rPr>
        <w:t>-</w:t>
      </w:r>
      <w:r>
        <w:rPr>
          <w:sz w:val="28"/>
          <w:szCs w:val="28"/>
        </w:rPr>
        <w:t>10</w:t>
      </w:r>
      <w:r w:rsidRPr="00CB6D89">
        <w:rPr>
          <w:sz w:val="28"/>
          <w:szCs w:val="28"/>
        </w:rPr>
        <w:t>-2026</w:t>
      </w:r>
      <w:r w:rsidRPr="00CB6D89">
        <w:rPr>
          <w:sz w:val="28"/>
          <w:szCs w:val="28"/>
        </w:rPr>
        <w:br/>
      </w:r>
    </w:p>
    <w:p w14:paraId="764998B7" w14:textId="77777777" w:rsidR="000B4946" w:rsidRDefault="000B4946" w:rsidP="000B4946">
      <w:pPr>
        <w:spacing w:after="0"/>
        <w:rPr>
          <w:b/>
          <w:bCs/>
          <w:sz w:val="36"/>
          <w:szCs w:val="36"/>
        </w:rPr>
      </w:pPr>
    </w:p>
    <w:p w14:paraId="00749028" w14:textId="77777777" w:rsidR="000B4946" w:rsidRPr="00CB6D89" w:rsidRDefault="000B4946" w:rsidP="000B4946">
      <w:pPr>
        <w:spacing w:after="0"/>
        <w:rPr>
          <w:b/>
          <w:bCs/>
          <w:sz w:val="36"/>
          <w:szCs w:val="36"/>
        </w:rPr>
      </w:pPr>
    </w:p>
    <w:p w14:paraId="12CB02C2" w14:textId="77777777" w:rsidR="000B4946" w:rsidRPr="00B86418" w:rsidRDefault="000B4946" w:rsidP="000B4946">
      <w:pPr>
        <w:spacing w:after="0"/>
        <w:rPr>
          <w:b/>
          <w:bCs/>
          <w:sz w:val="20"/>
          <w:szCs w:val="20"/>
        </w:rPr>
      </w:pPr>
      <w:proofErr w:type="gramStart"/>
      <w:r w:rsidRPr="00CB6D89">
        <w:rPr>
          <w:b/>
          <w:bCs/>
          <w:sz w:val="36"/>
          <w:szCs w:val="36"/>
        </w:rPr>
        <w:t>Name :</w:t>
      </w:r>
      <w:proofErr w:type="gramEnd"/>
      <w:r w:rsidRPr="00CB6D89">
        <w:rPr>
          <w:b/>
          <w:bCs/>
          <w:sz w:val="36"/>
          <w:szCs w:val="36"/>
        </w:rPr>
        <w:t xml:space="preserve"> Aditya Kumar</w:t>
      </w:r>
      <w:r>
        <w:rPr>
          <w:b/>
          <w:bCs/>
          <w:sz w:val="36"/>
          <w:szCs w:val="36"/>
        </w:rPr>
        <w:br/>
      </w:r>
    </w:p>
    <w:p w14:paraId="1135971C" w14:textId="77777777" w:rsidR="000B4946" w:rsidRPr="00B86418" w:rsidRDefault="000B4946" w:rsidP="000B4946">
      <w:pPr>
        <w:spacing w:after="0"/>
        <w:rPr>
          <w:b/>
          <w:bCs/>
          <w:sz w:val="32"/>
          <w:szCs w:val="32"/>
        </w:rPr>
      </w:pPr>
      <w:r w:rsidRPr="00B86418">
        <w:rPr>
          <w:b/>
          <w:bCs/>
          <w:sz w:val="32"/>
          <w:szCs w:val="32"/>
        </w:rPr>
        <w:t xml:space="preserve">Reg. </w:t>
      </w:r>
      <w:proofErr w:type="gramStart"/>
      <w:r w:rsidRPr="00B86418">
        <w:rPr>
          <w:b/>
          <w:bCs/>
          <w:sz w:val="32"/>
          <w:szCs w:val="32"/>
        </w:rPr>
        <w:t>No :</w:t>
      </w:r>
      <w:proofErr w:type="gramEnd"/>
      <w:r w:rsidRPr="00B86418">
        <w:rPr>
          <w:b/>
          <w:bCs/>
          <w:sz w:val="32"/>
          <w:szCs w:val="32"/>
        </w:rPr>
        <w:t xml:space="preserve"> 2647203</w:t>
      </w:r>
    </w:p>
    <w:p w14:paraId="4FF2C8DA" w14:textId="77777777" w:rsidR="000B4946" w:rsidRPr="00B86418" w:rsidRDefault="000B4946" w:rsidP="000B4946">
      <w:pPr>
        <w:spacing w:after="0"/>
        <w:rPr>
          <w:b/>
          <w:bCs/>
          <w:sz w:val="32"/>
          <w:szCs w:val="32"/>
        </w:rPr>
      </w:pPr>
      <w:proofErr w:type="gramStart"/>
      <w:r w:rsidRPr="00B86418">
        <w:rPr>
          <w:b/>
          <w:bCs/>
          <w:sz w:val="32"/>
          <w:szCs w:val="32"/>
        </w:rPr>
        <w:t>Class :</w:t>
      </w:r>
      <w:proofErr w:type="gramEnd"/>
      <w:r w:rsidRPr="00B86418">
        <w:rPr>
          <w:b/>
          <w:bCs/>
          <w:sz w:val="32"/>
          <w:szCs w:val="32"/>
        </w:rPr>
        <w:t xml:space="preserve"> </w:t>
      </w:r>
      <w:r>
        <w:rPr>
          <w:b/>
          <w:bCs/>
          <w:sz w:val="32"/>
          <w:szCs w:val="32"/>
        </w:rPr>
        <w:t>2</w:t>
      </w:r>
      <w:r w:rsidRPr="00B86418">
        <w:rPr>
          <w:b/>
          <w:bCs/>
          <w:sz w:val="32"/>
          <w:szCs w:val="32"/>
        </w:rPr>
        <w:t xml:space="preserve"> MCA – B</w:t>
      </w:r>
    </w:p>
    <w:p w14:paraId="301033D1" w14:textId="77777777" w:rsidR="000B4946" w:rsidRDefault="000B4946" w:rsidP="000B4946">
      <w:pPr>
        <w:spacing w:after="0"/>
        <w:rPr>
          <w:sz w:val="28"/>
          <w:szCs w:val="28"/>
        </w:rPr>
      </w:pPr>
    </w:p>
    <w:p w14:paraId="78A0A832" w14:textId="77777777" w:rsidR="000B4946" w:rsidRDefault="000B4946" w:rsidP="000B4946">
      <w:pPr>
        <w:spacing w:after="0"/>
        <w:rPr>
          <w:sz w:val="28"/>
          <w:szCs w:val="28"/>
        </w:rPr>
      </w:pPr>
    </w:p>
    <w:p w14:paraId="46618D1C" w14:textId="77777777" w:rsidR="000B4946" w:rsidRDefault="000B4946" w:rsidP="000B4946">
      <w:pPr>
        <w:spacing w:after="0"/>
        <w:rPr>
          <w:sz w:val="36"/>
          <w:szCs w:val="36"/>
        </w:rPr>
      </w:pPr>
      <w:proofErr w:type="gramStart"/>
      <w:r w:rsidRPr="00B86418">
        <w:rPr>
          <w:b/>
          <w:bCs/>
          <w:sz w:val="36"/>
          <w:szCs w:val="36"/>
        </w:rPr>
        <w:t>Domain :</w:t>
      </w:r>
      <w:proofErr w:type="gramEnd"/>
    </w:p>
    <w:p w14:paraId="73808CB5" w14:textId="5349E830" w:rsidR="000B4946" w:rsidRPr="00CB6D89" w:rsidRDefault="00F86A48" w:rsidP="005E6B62">
      <w:pPr>
        <w:spacing w:after="0"/>
        <w:rPr>
          <w:sz w:val="36"/>
          <w:szCs w:val="36"/>
        </w:rPr>
      </w:pPr>
      <w:r w:rsidRPr="00F86A48">
        <w:rPr>
          <w:sz w:val="36"/>
          <w:szCs w:val="36"/>
        </w:rPr>
        <w:t>Marine Ecological Informatics &amp; Bio-Optical Remote Sensing</w:t>
      </w:r>
      <w:r w:rsidR="000B4946">
        <w:rPr>
          <w:sz w:val="36"/>
          <w:szCs w:val="36"/>
        </w:rPr>
        <w:br w:type="page"/>
      </w:r>
    </w:p>
    <w:p w14:paraId="25A2E794" w14:textId="79591090" w:rsidR="000B4946" w:rsidRPr="00CB6D89" w:rsidRDefault="000B4946" w:rsidP="000B4946">
      <w:pPr>
        <w:spacing w:after="0"/>
        <w:jc w:val="center"/>
        <w:rPr>
          <w:sz w:val="36"/>
          <w:szCs w:val="36"/>
          <w:u w:val="single"/>
        </w:rPr>
      </w:pPr>
      <w:r w:rsidRPr="00CB6D89">
        <w:rPr>
          <w:b/>
          <w:bCs/>
          <w:sz w:val="44"/>
          <w:szCs w:val="44"/>
          <w:u w:val="single"/>
        </w:rPr>
        <w:lastRenderedPageBreak/>
        <w:t xml:space="preserve">Lab </w:t>
      </w:r>
      <w:r w:rsidR="00F86A48">
        <w:rPr>
          <w:b/>
          <w:bCs/>
          <w:sz w:val="44"/>
          <w:szCs w:val="44"/>
          <w:u w:val="single"/>
        </w:rPr>
        <w:t>5</w:t>
      </w:r>
    </w:p>
    <w:p w14:paraId="759ADAED" w14:textId="68DD688F" w:rsidR="000B4946" w:rsidRDefault="000B4946" w:rsidP="000B4946">
      <w:pPr>
        <w:spacing w:after="0"/>
        <w:rPr>
          <w:b/>
          <w:bCs/>
          <w:sz w:val="32"/>
          <w:szCs w:val="32"/>
        </w:rPr>
      </w:pPr>
      <w:r>
        <w:rPr>
          <w:b/>
          <w:bCs/>
          <w:sz w:val="32"/>
          <w:szCs w:val="32"/>
        </w:rPr>
        <w:t xml:space="preserve">Lab Exercise V: </w:t>
      </w:r>
    </w:p>
    <w:p w14:paraId="50CD9ED9" w14:textId="77777777" w:rsidR="000B4946" w:rsidRPr="00DB7ABD" w:rsidRDefault="000B4946" w:rsidP="000B4946">
      <w:pPr>
        <w:spacing w:after="0"/>
        <w:rPr>
          <w:b/>
          <w:bCs/>
          <w:sz w:val="2"/>
          <w:szCs w:val="2"/>
        </w:rPr>
      </w:pPr>
    </w:p>
    <w:p w14:paraId="7B53C245" w14:textId="513EF450" w:rsidR="000B4946" w:rsidRDefault="00F86A48" w:rsidP="000B4946">
      <w:pPr>
        <w:spacing w:after="0"/>
        <w:ind w:firstLine="360"/>
        <w:rPr>
          <w:b/>
          <w:bCs/>
          <w:sz w:val="32"/>
          <w:szCs w:val="32"/>
        </w:rPr>
      </w:pPr>
      <w:r w:rsidRPr="00F86A48">
        <w:rPr>
          <w:b/>
          <w:bCs/>
          <w:sz w:val="32"/>
          <w:szCs w:val="32"/>
        </w:rPr>
        <w:t>Literature Review</w:t>
      </w:r>
      <w:r w:rsidR="000B4946" w:rsidRPr="00135953">
        <w:rPr>
          <w:b/>
          <w:bCs/>
          <w:sz w:val="32"/>
          <w:szCs w:val="32"/>
        </w:rPr>
        <w:t>.</w:t>
      </w:r>
    </w:p>
    <w:p w14:paraId="5750D04B" w14:textId="77777777" w:rsidR="000B4946" w:rsidRDefault="000B4946" w:rsidP="000B4946">
      <w:pPr>
        <w:rPr>
          <w:b/>
          <w:sz w:val="24"/>
        </w:rPr>
      </w:pPr>
    </w:p>
    <w:p w14:paraId="4B836795" w14:textId="11988E14" w:rsidR="00C77886" w:rsidRPr="000B4946" w:rsidRDefault="00000000">
      <w:pPr>
        <w:spacing w:after="100"/>
        <w:rPr>
          <w:sz w:val="24"/>
          <w:szCs w:val="24"/>
        </w:rPr>
      </w:pPr>
      <w:r w:rsidRPr="000B4946">
        <w:rPr>
          <w:b/>
          <w:sz w:val="28"/>
          <w:szCs w:val="24"/>
        </w:rPr>
        <w:t xml:space="preserve">1. </w:t>
      </w:r>
      <w:r w:rsidR="00F86A48" w:rsidRPr="00F86A48">
        <w:rPr>
          <w:b/>
          <w:sz w:val="28"/>
          <w:szCs w:val="24"/>
        </w:rPr>
        <w:t>Literature Review</w:t>
      </w:r>
    </w:p>
    <w:p w14:paraId="401E9F5A" w14:textId="77777777" w:rsidR="00F86A48" w:rsidRDefault="00F86A48" w:rsidP="00F86A48">
      <w:pPr>
        <w:ind w:firstLine="720"/>
        <w:jc w:val="both"/>
      </w:pPr>
      <w:r>
        <w:t>Pandi et al. [1] investigated the empirical relationship between in situ remote sensing reflectance (</w:t>
      </w:r>
      <w:r>
        <w:rPr>
          <w:rFonts w:ascii="Cambria Math" w:hAnsi="Cambria Math"/>
        </w:rPr>
        <w:t>R_{</w:t>
      </w:r>
      <w:proofErr w:type="spellStart"/>
      <w:r>
        <w:rPr>
          <w:rFonts w:ascii="Cambria Math" w:hAnsi="Cambria Math"/>
        </w:rPr>
        <w:t>rs</w:t>
      </w:r>
      <w:proofErr w:type="spellEnd"/>
      <w:r>
        <w:rPr>
          <w:rFonts w:ascii="Cambria Math" w:hAnsi="Cambria Math"/>
        </w:rPr>
        <w:t>}</w:t>
      </w:r>
      <w:r>
        <w:t xml:space="preserve">) and the cell density of mixotrophic </w:t>
      </w:r>
      <w:r>
        <w:rPr>
          <w:i/>
        </w:rPr>
        <w:t>Noctiluca scintillans</w:t>
      </w:r>
      <w:r>
        <w:t xml:space="preserve"> in the northeastern Arabian Sea. Using hyperspectral radiometer profiles and surface bottle collections aboard FORV </w:t>
      </w:r>
      <w:r>
        <w:rPr>
          <w:i/>
        </w:rPr>
        <w:t>Sagar Sampada</w:t>
      </w:r>
      <w:r>
        <w:t xml:space="preserve">, the authors demonstrated that the reflectance band ratio </w:t>
      </w:r>
      <w:r>
        <w:rPr>
          <w:rFonts w:ascii="Cambria Math" w:hAnsi="Cambria Math"/>
        </w:rPr>
        <w:t>R_{</w:t>
      </w:r>
      <w:proofErr w:type="spellStart"/>
      <w:r>
        <w:rPr>
          <w:rFonts w:ascii="Cambria Math" w:hAnsi="Cambria Math"/>
        </w:rPr>
        <w:t>rs</w:t>
      </w:r>
      <w:proofErr w:type="spellEnd"/>
      <w:r>
        <w:rPr>
          <w:rFonts w:ascii="Cambria Math" w:hAnsi="Cambria Math"/>
        </w:rPr>
        <w:t>}(531)/R_{</w:t>
      </w:r>
      <w:proofErr w:type="spellStart"/>
      <w:r>
        <w:rPr>
          <w:rFonts w:ascii="Cambria Math" w:hAnsi="Cambria Math"/>
        </w:rPr>
        <w:t>rs</w:t>
      </w:r>
      <w:proofErr w:type="spellEnd"/>
      <w:proofErr w:type="gramStart"/>
      <w:r>
        <w:rPr>
          <w:rFonts w:ascii="Cambria Math" w:hAnsi="Cambria Math"/>
        </w:rPr>
        <w:t>}(</w:t>
      </w:r>
      <w:proofErr w:type="gramEnd"/>
      <w:r>
        <w:rPr>
          <w:rFonts w:ascii="Cambria Math" w:hAnsi="Cambria Math"/>
        </w:rPr>
        <w:t>510)</w:t>
      </w:r>
      <w:r>
        <w:t xml:space="preserve"> strongly correlates with cell abundance (</w:t>
      </w:r>
      <w:r>
        <w:rPr>
          <w:rFonts w:ascii="Cambria Math" w:hAnsi="Cambria Math"/>
        </w:rPr>
        <w:t>R^2 = 0.96</w:t>
      </w:r>
      <w:r>
        <w:t xml:space="preserve">, </w:t>
      </w:r>
      <w:r>
        <w:rPr>
          <w:rFonts w:ascii="Cambria Math" w:hAnsi="Cambria Math"/>
        </w:rPr>
        <w:t>p &lt; 10</w:t>
      </w:r>
      <w:proofErr w:type="gramStart"/>
      <w:r>
        <w:rPr>
          <w:rFonts w:ascii="Cambria Math" w:hAnsi="Cambria Math"/>
        </w:rPr>
        <w:t>^{</w:t>
      </w:r>
      <w:proofErr w:type="gramEnd"/>
      <w:r>
        <w:rPr>
          <w:rFonts w:ascii="Cambria Math" w:hAnsi="Cambria Math"/>
        </w:rPr>
        <w:t>-3}</w:t>
      </w:r>
      <w:r>
        <w:t xml:space="preserve">). Their findings confirmed that the optical reflectance peak at 531 nm paired with the 510 nm absorption trough isolates </w:t>
      </w:r>
      <w:r>
        <w:rPr>
          <w:i/>
        </w:rPr>
        <w:t>Noctiluca</w:t>
      </w:r>
      <w:r>
        <w:t xml:space="preserve"> endosymbionts from background diatoms and suspended matter, highlighting the need for dedicated 510 nm band capabilities on future ocean-color satellites.</w:t>
      </w:r>
    </w:p>
    <w:p w14:paraId="71D4102A" w14:textId="77777777" w:rsidR="00F86A48" w:rsidRDefault="00F86A48" w:rsidP="00F86A48">
      <w:pPr>
        <w:ind w:firstLine="720"/>
        <w:jc w:val="both"/>
      </w:pPr>
      <w:r>
        <w:t xml:space="preserve">Shi and Wang [2] evaluated the seasonal and interannual dynamics of phytoplankton biomass across the Arabian Sea using VIIRS observations from 2012 to 2019 alongside historical </w:t>
      </w:r>
      <w:proofErr w:type="spellStart"/>
      <w:r>
        <w:t>SeaWiFS</w:t>
      </w:r>
      <w:proofErr w:type="spellEnd"/>
      <w:r>
        <w:t xml:space="preserve"> datasets. By integrating satellite chlorophyll-</w:t>
      </w:r>
      <w:r>
        <w:rPr>
          <w:rFonts w:ascii="Cambria Math" w:hAnsi="Cambria Math"/>
        </w:rPr>
        <w:t>a</w:t>
      </w:r>
      <w:r>
        <w:t xml:space="preserve"> with physical reanalysis fields from GODAS, the study quantified two distinct monsoon-driven mechanisms: summer blooms in the western basin are forced by coastal upwelling and upward Ekman pumping (</w:t>
      </w:r>
      <w:r>
        <w:rPr>
          <w:rFonts w:ascii="Cambria Math" w:hAnsi="Cambria Math"/>
        </w:rPr>
        <w:t>w \</w:t>
      </w:r>
      <w:proofErr w:type="spellStart"/>
      <w:r>
        <w:rPr>
          <w:rFonts w:ascii="Cambria Math" w:hAnsi="Cambria Math"/>
        </w:rPr>
        <w:t>approx</w:t>
      </w:r>
      <w:proofErr w:type="spellEnd"/>
      <w:r>
        <w:rPr>
          <w:rFonts w:ascii="Cambria Math" w:hAnsi="Cambria Math"/>
        </w:rPr>
        <w:t xml:space="preserve"> 1\</w:t>
      </w:r>
      <w:proofErr w:type="gramStart"/>
      <w:r>
        <w:rPr>
          <w:rFonts w:ascii="Cambria Math" w:hAnsi="Cambria Math"/>
        </w:rPr>
        <w:t>text{ m</w:t>
      </w:r>
      <w:proofErr w:type="gramEnd"/>
      <w:r>
        <w:rPr>
          <w:rFonts w:ascii="Cambria Math" w:hAnsi="Cambria Math"/>
        </w:rPr>
        <w:t>/day}</w:t>
      </w:r>
      <w:r>
        <w:t xml:space="preserve"> at 70 m depth), whereas winter blooms in the northern basin are triggered by convective overturning and mixed-layer deepening to ~80 m. Their comparative analysis revealed no significant long-term secular trend in Arabian Sea chlorophyll-</w:t>
      </w:r>
      <w:r>
        <w:rPr>
          <w:rFonts w:ascii="Cambria Math" w:hAnsi="Cambria Math"/>
        </w:rPr>
        <w:t>a</w:t>
      </w:r>
      <w:r>
        <w:t xml:space="preserve"> biomass over the two-decade record.</w:t>
      </w:r>
    </w:p>
    <w:p w14:paraId="6F7D1E9B" w14:textId="77777777" w:rsidR="00F86A48" w:rsidRDefault="00F86A48" w:rsidP="00F86A48">
      <w:pPr>
        <w:ind w:firstLine="720"/>
        <w:jc w:val="both"/>
      </w:pPr>
      <w:proofErr w:type="spellStart"/>
      <w:r>
        <w:t>Kuttippurath</w:t>
      </w:r>
      <w:proofErr w:type="spellEnd"/>
      <w:r>
        <w:t xml:space="preserve"> et al. [3] analyzed two decades (1998–2019) of satellite chlorophyll-</w:t>
      </w:r>
      <w:r>
        <w:rPr>
          <w:rFonts w:ascii="Cambria Math" w:hAnsi="Cambria Math"/>
        </w:rPr>
        <w:t>a</w:t>
      </w:r>
      <w:r>
        <w:t xml:space="preserve"> and net primary productivity (NPP) in the northern Indian Ocean to determine the impact of atmospheric dust and warming trends. Using merged OC-CCI observations, MERRA-2 aerosol optical depth (AOD), and HYSPLIT air-mass backward trajectories, the authors detected a basin-wide NPP decline of </w:t>
      </w:r>
      <w:r>
        <w:rPr>
          <w:rFonts w:ascii="Cambria Math" w:hAnsi="Cambria Math"/>
        </w:rPr>
        <w:t>-0.048\</w:t>
      </w:r>
      <w:proofErr w:type="gramStart"/>
      <w:r>
        <w:rPr>
          <w:rFonts w:ascii="Cambria Math" w:hAnsi="Cambria Math"/>
        </w:rPr>
        <w:t>text{ mg</w:t>
      </w:r>
      <w:proofErr w:type="gramEnd"/>
      <w:r>
        <w:rPr>
          <w:rFonts w:ascii="Cambria Math" w:hAnsi="Cambria Math"/>
        </w:rPr>
        <w:t xml:space="preserve"> </w:t>
      </w:r>
      <w:proofErr w:type="gramStart"/>
      <w:r>
        <w:rPr>
          <w:rFonts w:ascii="Cambria Math" w:hAnsi="Cambria Math"/>
        </w:rPr>
        <w:t>m}^</w:t>
      </w:r>
      <w:proofErr w:type="gramEnd"/>
      <w:r>
        <w:rPr>
          <w:rFonts w:ascii="Cambria Math" w:hAnsi="Cambria Math"/>
        </w:rPr>
        <w:t>{-</w:t>
      </w:r>
      <w:proofErr w:type="gramStart"/>
      <w:r>
        <w:rPr>
          <w:rFonts w:ascii="Cambria Math" w:hAnsi="Cambria Math"/>
        </w:rPr>
        <w:t>3}\text{ day</w:t>
      </w:r>
      <w:proofErr w:type="gramEnd"/>
      <w:r>
        <w:rPr>
          <w:rFonts w:ascii="Cambria Math" w:hAnsi="Cambria Math"/>
        </w:rPr>
        <w:t>}</w:t>
      </w:r>
      <w:proofErr w:type="gramStart"/>
      <w:r>
        <w:rPr>
          <w:rFonts w:ascii="Cambria Math" w:hAnsi="Cambria Math"/>
        </w:rPr>
        <w:t>^{</w:t>
      </w:r>
      <w:proofErr w:type="gramEnd"/>
      <w:r>
        <w:rPr>
          <w:rFonts w:ascii="Cambria Math" w:hAnsi="Cambria Math"/>
        </w:rPr>
        <w:t>-</w:t>
      </w:r>
      <w:proofErr w:type="gramStart"/>
      <w:r>
        <w:rPr>
          <w:rFonts w:ascii="Cambria Math" w:hAnsi="Cambria Math"/>
        </w:rPr>
        <w:t>1}\text{ yr</w:t>
      </w:r>
      <w:proofErr w:type="gramEnd"/>
      <w:r>
        <w:rPr>
          <w:rFonts w:ascii="Cambria Math" w:hAnsi="Cambria Math"/>
        </w:rPr>
        <w:t>}</w:t>
      </w:r>
      <w:proofErr w:type="gramStart"/>
      <w:r>
        <w:rPr>
          <w:rFonts w:ascii="Cambria Math" w:hAnsi="Cambria Math"/>
        </w:rPr>
        <w:t>^{</w:t>
      </w:r>
      <w:proofErr w:type="gramEnd"/>
      <w:r>
        <w:rPr>
          <w:rFonts w:ascii="Cambria Math" w:hAnsi="Cambria Math"/>
        </w:rPr>
        <w:t>-1}</w:t>
      </w:r>
      <w:r>
        <w:t xml:space="preserve"> driven primarily by a </w:t>
      </w:r>
      <w:r>
        <w:rPr>
          <w:rFonts w:ascii="Cambria Math" w:hAnsi="Cambria Math"/>
        </w:rPr>
        <w:t>+0.02^</w:t>
      </w:r>
      <w:proofErr w:type="gramStart"/>
      <w:r>
        <w:rPr>
          <w:rFonts w:ascii="Cambria Math" w:hAnsi="Cambria Math"/>
        </w:rPr>
        <w:t>\circ\text{</w:t>
      </w:r>
      <w:proofErr w:type="gramEnd"/>
      <w:r>
        <w:rPr>
          <w:rFonts w:ascii="Cambria Math" w:hAnsi="Cambria Math"/>
        </w:rPr>
        <w:t xml:space="preserve">C </w:t>
      </w:r>
      <w:proofErr w:type="gramStart"/>
      <w:r>
        <w:rPr>
          <w:rFonts w:ascii="Cambria Math" w:hAnsi="Cambria Math"/>
        </w:rPr>
        <w:t>yr}^</w:t>
      </w:r>
      <w:proofErr w:type="gramEnd"/>
      <w:r>
        <w:rPr>
          <w:rFonts w:ascii="Cambria Math" w:hAnsi="Cambria Math"/>
        </w:rPr>
        <w:t>{-1}</w:t>
      </w:r>
      <w:r>
        <w:t xml:space="preserve"> sea surface warming trend. Furthermore, a 10% to 20% shift in air-mass transport from surrounding Middle Eastern deserts modulated trace mineral deposition, showing that atmospheric inputs can stimulate episodic blooms when upwelling is weak.</w:t>
      </w:r>
    </w:p>
    <w:p w14:paraId="2E0C0A2F" w14:textId="77777777" w:rsidR="00F86A48" w:rsidRDefault="00F86A48" w:rsidP="00F86A48">
      <w:pPr>
        <w:ind w:firstLine="720"/>
        <w:jc w:val="both"/>
      </w:pPr>
      <w:r>
        <w:t xml:space="preserve">Li et al. [4] assessed the radiometric accuracy of VIIRS Level-2 remote sensing reflectance products across a 10-year period (2012–2021) using the global OC-CCI in situ benchmark. The study revealed that conventional near-infrared atmospheric correction algorithms experience nearly a 50% accuracy degradation when the solar zenith angle exceeds 70°, inducing large negative biases in the blue wavebands. To resolve this geometric limitation, the authors developed a neural network atmospheric correction model (NN-V) that reduced relative percentage differences from </w:t>
      </w:r>
      <w:r>
        <w:rPr>
          <w:rFonts w:ascii="Cambria Math" w:hAnsi="Cambria Math"/>
        </w:rPr>
        <w:t>-38.59\%</w:t>
      </w:r>
      <w:r>
        <w:t xml:space="preserve"> to </w:t>
      </w:r>
      <w:r>
        <w:rPr>
          <w:rFonts w:ascii="Cambria Math" w:hAnsi="Cambria Math"/>
        </w:rPr>
        <w:t>-5.27\%</w:t>
      </w:r>
      <w:r>
        <w:t xml:space="preserve"> and expanded valid wintertime observation coverage in high-latitude and low-sun conditions by nearly twentyfold.</w:t>
      </w:r>
    </w:p>
    <w:p w14:paraId="1EEF79E1" w14:textId="77777777" w:rsidR="00F86A48" w:rsidRDefault="00F86A48" w:rsidP="00F86A48">
      <w:pPr>
        <w:ind w:firstLine="720"/>
        <w:jc w:val="both"/>
      </w:pPr>
      <w:r>
        <w:t>Cael et al. [5] examined a 20-year MODIS-Aqua time series (2002–2022) to evaluate whether climate-change-driven signals are detectable in multi-band remote sensing reflectance rather than scalar chlorophyll-</w:t>
      </w:r>
      <w:r>
        <w:rPr>
          <w:rFonts w:ascii="Cambria Math" w:hAnsi="Cambria Math"/>
        </w:rPr>
        <w:t>a</w:t>
      </w:r>
      <w:r>
        <w:t xml:space="preserve">. By applying multivariate linear regression combined with the Cochrane-Orcutt procedure to filter temporal autocorrelation, the authors identified statistically significant long-term trends across 40% of the global surface ocean, demonstrating that low-latitude waters are becoming greener. Their findings showed that multivariate </w:t>
      </w:r>
      <w:r>
        <w:rPr>
          <w:rFonts w:ascii="Cambria Math" w:hAnsi="Cambria Math"/>
        </w:rPr>
        <w:t>R_{</w:t>
      </w:r>
      <w:proofErr w:type="spellStart"/>
      <w:r>
        <w:rPr>
          <w:rFonts w:ascii="Cambria Math" w:hAnsi="Cambria Math"/>
        </w:rPr>
        <w:t>rs</w:t>
      </w:r>
      <w:proofErr w:type="spellEnd"/>
      <w:r>
        <w:rPr>
          <w:rFonts w:ascii="Cambria Math" w:hAnsi="Cambria Math"/>
        </w:rPr>
        <w:t>}</w:t>
      </w:r>
      <w:r>
        <w:t xml:space="preserve"> captures ecological shifts and community restructuring significantly faster than univariate chlorophyll, which remains constrained by high natural interannual variability.</w:t>
      </w:r>
    </w:p>
    <w:p w14:paraId="6423672E" w14:textId="77777777" w:rsidR="00F86A48" w:rsidRDefault="00F86A48" w:rsidP="00F86A48">
      <w:pPr>
        <w:ind w:firstLine="720"/>
        <w:jc w:val="both"/>
      </w:pPr>
      <w:r>
        <w:lastRenderedPageBreak/>
        <w:t>Dutkiewicz et al. [6] simulated twenty-first-century changes in ocean optical properties and community structure under a business-as-usual emissions scenario using a coupled ecosystem-radiative transfer model. Their analysis demonstrated that remotely sensed reflectance in the blue-green spectrum (specifically 487–512 nm) has lower interannual variability and exhibits a much shorter time of emergence (</w:t>
      </w:r>
      <w:proofErr w:type="spellStart"/>
      <w:r>
        <w:t>ToE</w:t>
      </w:r>
      <w:proofErr w:type="spellEnd"/>
      <w:r>
        <w:t>) than scalar chlorophyll-</w:t>
      </w:r>
      <w:r>
        <w:rPr>
          <w:rFonts w:ascii="Cambria Math" w:hAnsi="Cambria Math"/>
        </w:rPr>
        <w:t>a</w:t>
      </w:r>
      <w:r>
        <w:t>. The model indicated that shifts in phytoplankton functional groups, cellular pigment packaging, and colored dissolved organic matter (CDOM) bleaching alter spectral reflectance ratios, warning that fixed empirical chlorophyll algorithms will become inaccurate in a changing ocean.</w:t>
      </w:r>
    </w:p>
    <w:p w14:paraId="3D3A43A0" w14:textId="77777777" w:rsidR="00F86A48" w:rsidRDefault="00F86A48" w:rsidP="00F86A48">
      <w:pPr>
        <w:ind w:firstLine="720"/>
        <w:jc w:val="both"/>
      </w:pPr>
      <w:proofErr w:type="spellStart"/>
      <w:r>
        <w:t>Sathyendranath</w:t>
      </w:r>
      <w:proofErr w:type="spellEnd"/>
      <w:r>
        <w:t xml:space="preserve"> et al. [7] detailed the comprehensive development and validation of the multi-mission Ocean </w:t>
      </w:r>
      <w:proofErr w:type="spellStart"/>
      <w:r>
        <w:t>Colour</w:t>
      </w:r>
      <w:proofErr w:type="spellEnd"/>
      <w:r>
        <w:t xml:space="preserve"> Climate Change Initiative (OC-CCI) product suite spanning from 1997 to 2018. The methodology employed Quasi-Analytical Algorithm (QAA) band-shifting to map radiances from </w:t>
      </w:r>
      <w:proofErr w:type="spellStart"/>
      <w:r>
        <w:t>SeaWiFS</w:t>
      </w:r>
      <w:proofErr w:type="spellEnd"/>
      <w:r>
        <w:t>, MODIS, MERIS, and VIIRS to unified reference wavebands, corrected inter-sensor spatial and seasonal biases, and implemented fuzzy-logic optical water classification. The resulting climate data record minimized multi-satellite discontinuities, significantly enhanced spatial coverage using the POLYMER atmospheric correction, and generated per-pixel uncertainty estimates based on extensive in situ matchups.</w:t>
      </w:r>
    </w:p>
    <w:p w14:paraId="7F412AE3" w14:textId="77777777" w:rsidR="00F86A48" w:rsidRDefault="00F86A48" w:rsidP="00F86A48">
      <w:pPr>
        <w:ind w:firstLine="720"/>
        <w:jc w:val="both"/>
      </w:pPr>
      <w:r>
        <w:t xml:space="preserve">Hammond et al. [8] developed a hierarchical Bayesian </w:t>
      </w:r>
      <w:proofErr w:type="spellStart"/>
      <w:r>
        <w:t>spatio</w:t>
      </w:r>
      <w:proofErr w:type="spellEnd"/>
      <w:r>
        <w:t>-temporal model to quantify regional surface chlorophyll-</w:t>
      </w:r>
      <w:r>
        <w:rPr>
          <w:rFonts w:ascii="Cambria Math" w:hAnsi="Cambria Math"/>
        </w:rPr>
        <w:t>a</w:t>
      </w:r>
      <w:r>
        <w:t xml:space="preserve"> trends and uncertainties using the 20-year OC-CCI dataset. By incorporating CMIP5 biogeochemical model projections as Bayesian priors to constrain trend estimates, the authors evaluated 23 discrete ocean provinces while filtering </w:t>
      </w:r>
      <w:proofErr w:type="gramStart"/>
      <w:r>
        <w:t>AR(</w:t>
      </w:r>
      <w:proofErr w:type="gramEnd"/>
      <w:r>
        <w:t>1) temporal autocorrelation and spatial distance decay. While their weighted global average trend showed no significant net change (</w:t>
      </w:r>
      <w:r>
        <w:rPr>
          <w:rFonts w:ascii="Cambria Math" w:hAnsi="Cambria Math"/>
        </w:rPr>
        <w:t>0.08 \pm 0.35</w:t>
      </w:r>
      <w:proofErr w:type="gramStart"/>
      <w:r>
        <w:rPr>
          <w:rFonts w:ascii="Cambria Math" w:hAnsi="Cambria Math"/>
        </w:rPr>
        <w:t>\%\text{ yr</w:t>
      </w:r>
      <w:proofErr w:type="gramEnd"/>
      <w:r>
        <w:rPr>
          <w:rFonts w:ascii="Cambria Math" w:hAnsi="Cambria Math"/>
        </w:rPr>
        <w:t>}</w:t>
      </w:r>
      <w:proofErr w:type="gramStart"/>
      <w:r>
        <w:rPr>
          <w:rFonts w:ascii="Cambria Math" w:hAnsi="Cambria Math"/>
        </w:rPr>
        <w:t>^{</w:t>
      </w:r>
      <w:proofErr w:type="gramEnd"/>
      <w:r>
        <w:rPr>
          <w:rFonts w:ascii="Cambria Math" w:hAnsi="Cambria Math"/>
        </w:rPr>
        <w:t>-1}</w:t>
      </w:r>
      <w:r>
        <w:t>), 18 of the 23 individual regions exhibited significant trends (</w:t>
      </w:r>
      <w:r>
        <w:rPr>
          <w:rFonts w:ascii="Cambria Math" w:hAnsi="Cambria Math"/>
        </w:rPr>
        <w:t>\pm 1.8</w:t>
      </w:r>
      <w:proofErr w:type="gramStart"/>
      <w:r>
        <w:rPr>
          <w:rFonts w:ascii="Cambria Math" w:hAnsi="Cambria Math"/>
        </w:rPr>
        <w:t>\%\text{ yr</w:t>
      </w:r>
      <w:proofErr w:type="gramEnd"/>
      <w:r>
        <w:rPr>
          <w:rFonts w:ascii="Cambria Math" w:hAnsi="Cambria Math"/>
        </w:rPr>
        <w:t>}</w:t>
      </w:r>
      <w:proofErr w:type="gramStart"/>
      <w:r>
        <w:rPr>
          <w:rFonts w:ascii="Cambria Math" w:hAnsi="Cambria Math"/>
        </w:rPr>
        <w:t>^{</w:t>
      </w:r>
      <w:proofErr w:type="gramEnd"/>
      <w:r>
        <w:rPr>
          <w:rFonts w:ascii="Cambria Math" w:hAnsi="Cambria Math"/>
        </w:rPr>
        <w:t>-1}</w:t>
      </w:r>
      <w:r>
        <w:t>), underscoring the critical need to analyze marine ecosystem shifts at regional scales rather than global aggregations.</w:t>
      </w:r>
    </w:p>
    <w:p w14:paraId="02173789" w14:textId="77777777" w:rsidR="00F86A48" w:rsidRDefault="00F86A48" w:rsidP="00F86A48">
      <w:pPr>
        <w:ind w:firstLine="720"/>
        <w:jc w:val="both"/>
      </w:pPr>
      <w:r>
        <w:t>Bisson et al. [9] validated spaceborne particulate backscattering (</w:t>
      </w:r>
      <w:r>
        <w:rPr>
          <w:rFonts w:ascii="Cambria Math" w:hAnsi="Cambria Math"/>
        </w:rPr>
        <w:t>b_{bp}</w:t>
      </w:r>
      <w:r>
        <w:t xml:space="preserve">) retrievals from MODIS, VIIRS, and OLCI against 2,486 coincident in situ observations acquired from autonomous Biogeochemical Argo (BGC-Argo) profiling floats at 700 nm. Evaluating the GIOP, QAA, and GSM inversion algorithms, the authors found that satellite-to-float </w:t>
      </w:r>
      <w:r>
        <w:rPr>
          <w:rFonts w:ascii="Cambria Math" w:hAnsi="Cambria Math"/>
        </w:rPr>
        <w:t>b_{bp}</w:t>
      </w:r>
      <w:r>
        <w:t xml:space="preserve"> median ratios ranged from 0.77 to 1.60, with performance degrading noticeably in regions with high spatial reflectance variance. The study proved that assuming a fixed backscattering spectral slope (</w:t>
      </w:r>
      <w:r>
        <w:rPr>
          <w:rFonts w:ascii="Cambria Math" w:hAnsi="Cambria Math"/>
        </w:rPr>
        <w:t>\gamma = 1</w:t>
      </w:r>
      <w:r>
        <w:t>) in the GSM model causes up to 50% overestimation in low-biomass waters, emphasizing that variable spectral slope formulations are required for accurate carbon stock estimation.</w:t>
      </w:r>
    </w:p>
    <w:p w14:paraId="4FBA39FE" w14:textId="77777777" w:rsidR="00F86A48" w:rsidRDefault="00F86A48" w:rsidP="00F86A48">
      <w:pPr>
        <w:ind w:firstLine="720"/>
        <w:jc w:val="both"/>
      </w:pPr>
      <w:proofErr w:type="spellStart"/>
      <w:r>
        <w:t>Castant</w:t>
      </w:r>
      <w:proofErr w:type="spellEnd"/>
      <w:r>
        <w:t xml:space="preserve"> et al. [10] reconstructed a 4D, gap-free global dataset (latitude, longitude, depth, time) of Photosynthetically Active Radiation (PAR) and its diffuse attenuation coefficient (</w:t>
      </w:r>
      <w:proofErr w:type="spellStart"/>
      <w:r>
        <w:rPr>
          <w:rFonts w:ascii="Cambria Math" w:hAnsi="Cambria Math"/>
        </w:rPr>
        <w:t>K_d</w:t>
      </w:r>
      <w:proofErr w:type="spellEnd"/>
      <w:r>
        <w:rPr>
          <w:rFonts w:ascii="Cambria Math" w:hAnsi="Cambria Math"/>
        </w:rPr>
        <w:t>\</w:t>
      </w:r>
      <w:proofErr w:type="gramStart"/>
      <w:r>
        <w:rPr>
          <w:rFonts w:ascii="Cambria Math" w:hAnsi="Cambria Math"/>
        </w:rPr>
        <w:t>text{</w:t>
      </w:r>
      <w:proofErr w:type="gramEnd"/>
      <w:r>
        <w:rPr>
          <w:rFonts w:ascii="Cambria Math" w:hAnsi="Cambria Math"/>
        </w:rPr>
        <w:t>PAR}</w:t>
      </w:r>
      <w:r>
        <w:t xml:space="preserve">) from 1958 to 2022 at a </w:t>
      </w:r>
      <w:r>
        <w:rPr>
          <w:rFonts w:ascii="Cambria Math" w:hAnsi="Cambria Math"/>
        </w:rPr>
        <w:t>0.25^\circ</w:t>
      </w:r>
      <w:r>
        <w:t xml:space="preserve"> resolution. The authors utilized </w:t>
      </w:r>
      <w:proofErr w:type="spellStart"/>
      <w:r>
        <w:t>GlobColour</w:t>
      </w:r>
      <w:proofErr w:type="spellEnd"/>
      <w:r>
        <w:t xml:space="preserve"> satellite products combined with the Environmental String Model (ESM) and DINEOF interpolation driven by ERA5 atmospheric variables to reconstruct light penetration through the upper 250 m. Their validation against SEABASS in situ radiometric stations and biogeochemical hindcast models demonstrated that coupling machine learning with physical atmospheric reanalysis accurately reconstructs the depth of the euphotic zone (</w:t>
      </w:r>
      <w:r>
        <w:rPr>
          <w:rFonts w:ascii="Cambria Math" w:hAnsi="Cambria Math"/>
        </w:rPr>
        <w:t>Z_{</w:t>
      </w:r>
      <w:proofErr w:type="spellStart"/>
      <w:r>
        <w:rPr>
          <w:rFonts w:ascii="Cambria Math" w:hAnsi="Cambria Math"/>
        </w:rPr>
        <w:t>eu</w:t>
      </w:r>
      <w:proofErr w:type="spellEnd"/>
      <w:r>
        <w:rPr>
          <w:rFonts w:ascii="Cambria Math" w:hAnsi="Cambria Math"/>
        </w:rPr>
        <w:t>}</w:t>
      </w:r>
      <w:r>
        <w:t>) across decadal ocean cycles.</w:t>
      </w:r>
    </w:p>
    <w:p w14:paraId="3F7FCE67" w14:textId="77777777" w:rsidR="00F86A48" w:rsidRDefault="00F86A48">
      <w:pPr>
        <w:spacing w:after="100"/>
        <w:rPr>
          <w:b/>
          <w:sz w:val="28"/>
          <w:szCs w:val="24"/>
        </w:rPr>
      </w:pPr>
    </w:p>
    <w:p w14:paraId="57D3A291" w14:textId="77777777" w:rsidR="005E6B62" w:rsidRDefault="005E6B62">
      <w:pPr>
        <w:rPr>
          <w:b/>
          <w:sz w:val="28"/>
          <w:szCs w:val="24"/>
        </w:rPr>
      </w:pPr>
      <w:r>
        <w:rPr>
          <w:b/>
          <w:sz w:val="28"/>
          <w:szCs w:val="24"/>
        </w:rPr>
        <w:br w:type="page"/>
      </w:r>
    </w:p>
    <w:p w14:paraId="7C2A39FA" w14:textId="0D036F5B" w:rsidR="00C77886" w:rsidRPr="000B4946" w:rsidRDefault="00000000">
      <w:pPr>
        <w:spacing w:after="100"/>
        <w:rPr>
          <w:sz w:val="24"/>
          <w:szCs w:val="24"/>
        </w:rPr>
      </w:pPr>
      <w:r w:rsidRPr="000B4946">
        <w:rPr>
          <w:b/>
          <w:sz w:val="28"/>
          <w:szCs w:val="24"/>
        </w:rPr>
        <w:lastRenderedPageBreak/>
        <w:t xml:space="preserve">2. </w:t>
      </w:r>
      <w:r w:rsidR="00F86A48" w:rsidRPr="00F86A48">
        <w:rPr>
          <w:b/>
          <w:sz w:val="28"/>
          <w:szCs w:val="24"/>
        </w:rPr>
        <w:t>Summary and Findings</w:t>
      </w:r>
    </w:p>
    <w:p w14:paraId="3455E1F9" w14:textId="241090C7" w:rsidR="00D64F39" w:rsidRDefault="000F3FC5" w:rsidP="000F3FC5">
      <w:r w:rsidRPr="000F3FC5">
        <w:t>After reviewing these ten studies, it is clear that while satellite remote sensing and multi-mission ocean color datasets have come a long way, several key practical problems still remain unresolved. The biggest issue is that standard chlorophyll algorithms treat all green patches the same, frequently misclassifying complex mixotrophic dinoflagellate blooms like Noctiluca scintillans as ordinary diatom populations because they only check broad blue-to-green reflectance ratios. Most monitoring workflows also view satellite images as flat, isolated snapshots, completely ignoring essential subsurface physical processes like mixed-layer deepening, upwelling velocity, and atmospheric dust inputs that actually trigger these blooms in the first place. On top of that, satellite data often gets heavily degraded or masked during winter and low-sun observation windows, while traditional time-series methods that rely only on single-channel chlorophyll fail to catch real ecological shifts due to high natural noise and autocorrelation. Recent advancements show that we can overcome these barriers by designing targeted band ratios near 510 nm and 531 nm, using neural networks to clean up atmospheric errors, and switching from single chlorophyll numbers to multivariate reflectance models. Bringing these physical, atmospheric, and spectral layers together into one data pipeline offers a far more sensitive and reliable way to track harmful blooms and understand how our coastal ecosystems are genuinely shifting over time.</w:t>
      </w:r>
    </w:p>
    <w:p w14:paraId="03D13C50" w14:textId="77777777" w:rsidR="005E6B62" w:rsidRDefault="005E6B62" w:rsidP="000F3FC5">
      <w:pPr>
        <w:rPr>
          <w:b/>
          <w:sz w:val="28"/>
          <w:szCs w:val="24"/>
        </w:rPr>
      </w:pPr>
    </w:p>
    <w:p w14:paraId="0C21ECD0" w14:textId="0B2A84DF" w:rsidR="00C77886" w:rsidRPr="000B4946" w:rsidRDefault="00000000" w:rsidP="000F3FC5">
      <w:pPr>
        <w:spacing w:before="240" w:after="100"/>
        <w:rPr>
          <w:sz w:val="24"/>
          <w:szCs w:val="24"/>
        </w:rPr>
      </w:pPr>
      <w:r w:rsidRPr="000B4946">
        <w:rPr>
          <w:b/>
          <w:sz w:val="28"/>
          <w:szCs w:val="24"/>
        </w:rPr>
        <w:t xml:space="preserve">6. </w:t>
      </w:r>
      <w:r w:rsidR="00D64F39" w:rsidRPr="00D64F39">
        <w:rPr>
          <w:b/>
          <w:sz w:val="28"/>
          <w:szCs w:val="24"/>
        </w:rPr>
        <w:t>References</w:t>
      </w:r>
    </w:p>
    <w:p w14:paraId="327B79BF" w14:textId="77777777" w:rsidR="00D64F39" w:rsidRDefault="00D64F39" w:rsidP="000F3FC5">
      <w:pPr>
        <w:spacing w:after="0"/>
        <w:ind w:left="360" w:hanging="360"/>
      </w:pPr>
      <w:r>
        <w:t xml:space="preserve">[1] S. R. Pandi, S. K. </w:t>
      </w:r>
      <w:proofErr w:type="spellStart"/>
      <w:r>
        <w:t>Baliarsingh</w:t>
      </w:r>
      <w:proofErr w:type="spellEnd"/>
      <w:r>
        <w:t xml:space="preserve">, A. A. </w:t>
      </w:r>
      <w:proofErr w:type="spellStart"/>
      <w:r>
        <w:t>Lotliker</w:t>
      </w:r>
      <w:proofErr w:type="spellEnd"/>
      <w:r>
        <w:t xml:space="preserve">, N. S. Sarma, and S. C. Tripathy, "Empirical relationships for remote sensing reflectance and </w:t>
      </w:r>
      <w:r>
        <w:rPr>
          <w:i/>
        </w:rPr>
        <w:t>Noctiluca scintillans</w:t>
      </w:r>
      <w:r>
        <w:t xml:space="preserve"> cell density in the northeastern Arabian Sea," </w:t>
      </w:r>
      <w:r>
        <w:rPr>
          <w:i/>
        </w:rPr>
        <w:t>Marine Pollution Bulletin</w:t>
      </w:r>
      <w:r>
        <w:t>, vol. 161, p. 111770, 2020.</w:t>
      </w:r>
    </w:p>
    <w:p w14:paraId="45FA617D" w14:textId="77777777" w:rsidR="00D64F39" w:rsidRDefault="00D64F39" w:rsidP="000F3FC5">
      <w:pPr>
        <w:spacing w:after="0"/>
        <w:ind w:left="360" w:hanging="360"/>
      </w:pPr>
      <w:r>
        <w:t xml:space="preserve">[2] W. Shi and M. Wang, "Phytoplankton biomass dynamics in the Arabian Sea from VIIRS observations," </w:t>
      </w:r>
      <w:r>
        <w:rPr>
          <w:i/>
        </w:rPr>
        <w:t>Journal of Marine Systems</w:t>
      </w:r>
      <w:r>
        <w:t>, vol. 227, p. 103670, 2022.</w:t>
      </w:r>
    </w:p>
    <w:p w14:paraId="317ACEBB" w14:textId="77777777" w:rsidR="00D64F39" w:rsidRDefault="00D64F39" w:rsidP="000F3FC5">
      <w:pPr>
        <w:spacing w:after="0"/>
        <w:ind w:left="360" w:hanging="360"/>
      </w:pPr>
      <w:r>
        <w:t xml:space="preserve">[3] J. </w:t>
      </w:r>
      <w:proofErr w:type="spellStart"/>
      <w:r>
        <w:t>Kuttippurath</w:t>
      </w:r>
      <w:proofErr w:type="spellEnd"/>
      <w:r>
        <w:t xml:space="preserve">, S. </w:t>
      </w:r>
      <w:proofErr w:type="spellStart"/>
      <w:r>
        <w:t>Maishal</w:t>
      </w:r>
      <w:proofErr w:type="spellEnd"/>
      <w:r>
        <w:t xml:space="preserve">, P. </w:t>
      </w:r>
      <w:proofErr w:type="spellStart"/>
      <w:r>
        <w:t>Anjaneyan</w:t>
      </w:r>
      <w:proofErr w:type="spellEnd"/>
      <w:r>
        <w:t xml:space="preserve">, N. Sunanda, and K. Chakraborty, "Recent changes in atmospheric input and primary productivity in the north Indian Ocean," </w:t>
      </w:r>
      <w:proofErr w:type="spellStart"/>
      <w:r>
        <w:rPr>
          <w:i/>
        </w:rPr>
        <w:t>Heliyon</w:t>
      </w:r>
      <w:proofErr w:type="spellEnd"/>
      <w:r>
        <w:t>, vol. 9, no. 7, p. e17940, 2023.</w:t>
      </w:r>
    </w:p>
    <w:p w14:paraId="4F599900" w14:textId="77777777" w:rsidR="00D64F39" w:rsidRDefault="00D64F39" w:rsidP="000F3FC5">
      <w:pPr>
        <w:spacing w:after="0"/>
        <w:ind w:left="360" w:hanging="360"/>
      </w:pPr>
      <w:r>
        <w:t xml:space="preserve">[4] H. Li, X. He, P. Shanmugam, Y. Bai, D. Wang, T. Li, and F. Gong, "Assessing and improving the accuracy of Visible Infrared Imaging </w:t>
      </w:r>
      <w:proofErr w:type="gramStart"/>
      <w:r>
        <w:t>Radiometer Suite ocean</w:t>
      </w:r>
      <w:proofErr w:type="gramEnd"/>
      <w:r>
        <w:t xml:space="preserve"> color products in environments with high solar zenith angles," </w:t>
      </w:r>
      <w:r>
        <w:rPr>
          <w:i/>
        </w:rPr>
        <w:t>Remote Sensing</w:t>
      </w:r>
      <w:r>
        <w:t>, vol. 16, no. 2, p. 339, 2024.</w:t>
      </w:r>
    </w:p>
    <w:p w14:paraId="3B4F7043" w14:textId="77777777" w:rsidR="00D64F39" w:rsidRDefault="00D64F39" w:rsidP="000F3FC5">
      <w:pPr>
        <w:spacing w:after="0"/>
        <w:ind w:left="360" w:hanging="360"/>
      </w:pPr>
      <w:r>
        <w:t xml:space="preserve">[5] B. B. Cael, K. Bisson, E. Boss, S. Dutkiewicz, and S. Henson, "Global climate-change trends detected in indicators of ocean ecology," </w:t>
      </w:r>
      <w:r>
        <w:rPr>
          <w:i/>
        </w:rPr>
        <w:t>Nature</w:t>
      </w:r>
      <w:r>
        <w:t>, vol. 619, no. 7970, pp. 551–554, 2023.</w:t>
      </w:r>
    </w:p>
    <w:p w14:paraId="71929D51" w14:textId="77777777" w:rsidR="00D64F39" w:rsidRDefault="00D64F39" w:rsidP="000F3FC5">
      <w:pPr>
        <w:spacing w:after="0"/>
        <w:ind w:left="360" w:hanging="360"/>
      </w:pPr>
      <w:r>
        <w:t xml:space="preserve">[6] S. Dutkiewicz, A. E. Hickman, O. Jahn, S. Henson, C. Beaulieu, and E. Monier, "Ocean </w:t>
      </w:r>
      <w:proofErr w:type="spellStart"/>
      <w:r>
        <w:t>colour</w:t>
      </w:r>
      <w:proofErr w:type="spellEnd"/>
      <w:r>
        <w:t xml:space="preserve"> signature of climate change," </w:t>
      </w:r>
      <w:r>
        <w:rPr>
          <w:i/>
        </w:rPr>
        <w:t>Nature Communications</w:t>
      </w:r>
      <w:r>
        <w:t>, vol. 10, no. 1, p. 578, 2019.</w:t>
      </w:r>
    </w:p>
    <w:p w14:paraId="20AA2A9B" w14:textId="77777777" w:rsidR="00D64F39" w:rsidRDefault="00D64F39" w:rsidP="000F3FC5">
      <w:pPr>
        <w:spacing w:after="0"/>
        <w:ind w:left="360" w:hanging="360"/>
      </w:pPr>
      <w:r>
        <w:t xml:space="preserve">[7] S. </w:t>
      </w:r>
      <w:proofErr w:type="spellStart"/>
      <w:r>
        <w:t>Sathyendranath</w:t>
      </w:r>
      <w:proofErr w:type="spellEnd"/>
      <w:r>
        <w:t xml:space="preserve">, R. J. W. Brewin, C. Brockmann, V. </w:t>
      </w:r>
      <w:proofErr w:type="spellStart"/>
      <w:r>
        <w:t>Brotas</w:t>
      </w:r>
      <w:proofErr w:type="spellEnd"/>
      <w:r>
        <w:t>, B. Calton, A. Chuprin, et al., "An ocean-</w:t>
      </w:r>
      <w:proofErr w:type="spellStart"/>
      <w:r>
        <w:t>colour</w:t>
      </w:r>
      <w:proofErr w:type="spellEnd"/>
      <w:r>
        <w:t xml:space="preserve"> time series for use in climate studies: The experience of the Ocean-</w:t>
      </w:r>
      <w:proofErr w:type="spellStart"/>
      <w:r>
        <w:t>Colour</w:t>
      </w:r>
      <w:proofErr w:type="spellEnd"/>
      <w:r>
        <w:t xml:space="preserve"> Climate Change Initiative (OC-CCI)," </w:t>
      </w:r>
      <w:r>
        <w:rPr>
          <w:i/>
        </w:rPr>
        <w:t>Sensors</w:t>
      </w:r>
      <w:r>
        <w:t>, vol. 19, no. 19, p. 4285, 2019.</w:t>
      </w:r>
    </w:p>
    <w:p w14:paraId="3B3151A7" w14:textId="77777777" w:rsidR="00D64F39" w:rsidRDefault="00D64F39" w:rsidP="000F3FC5">
      <w:pPr>
        <w:spacing w:after="0"/>
        <w:ind w:left="360" w:hanging="360"/>
      </w:pPr>
      <w:r>
        <w:t xml:space="preserve">[8] M. L. Hammond, C. Beaulieu, S. A. Henson, and S. K. Sahu, "Regional surface chlorophyll trends and uncertainties in the global ocean," </w:t>
      </w:r>
      <w:r>
        <w:rPr>
          <w:i/>
        </w:rPr>
        <w:t>Scientific Reports</w:t>
      </w:r>
      <w:r>
        <w:t>, vol. 10, no. 1, p. 15273, 2020.</w:t>
      </w:r>
    </w:p>
    <w:p w14:paraId="6E16493C" w14:textId="77777777" w:rsidR="00D64F39" w:rsidRDefault="00D64F39" w:rsidP="000F3FC5">
      <w:pPr>
        <w:spacing w:after="0"/>
        <w:ind w:left="360" w:hanging="360"/>
      </w:pPr>
      <w:r>
        <w:t xml:space="preserve">[9] K. M. Bisson, E. Boss, T. K. Westberry, and M. J. </w:t>
      </w:r>
      <w:proofErr w:type="spellStart"/>
      <w:r>
        <w:t>Behrenfeld</w:t>
      </w:r>
      <w:proofErr w:type="spellEnd"/>
      <w:r>
        <w:t xml:space="preserve">, "Evaluating satellite estimates of particulate backscatter in the global open ocean using autonomous profiling floats," </w:t>
      </w:r>
      <w:r>
        <w:rPr>
          <w:i/>
        </w:rPr>
        <w:t>Optics Express</w:t>
      </w:r>
      <w:r>
        <w:t>, vol. 27, no. 21, pp. 30191–30203, 2019.</w:t>
      </w:r>
    </w:p>
    <w:p w14:paraId="70A1CA58" w14:textId="45970958" w:rsidR="00C77886" w:rsidRDefault="00D64F39" w:rsidP="000F3FC5">
      <w:pPr>
        <w:spacing w:after="0"/>
        <w:ind w:left="360" w:hanging="360"/>
      </w:pPr>
      <w:r>
        <w:t xml:space="preserve">[10] J. </w:t>
      </w:r>
      <w:proofErr w:type="spellStart"/>
      <w:r>
        <w:t>Castant</w:t>
      </w:r>
      <w:proofErr w:type="spellEnd"/>
      <w:r>
        <w:t xml:space="preserve">, V. </w:t>
      </w:r>
      <w:proofErr w:type="spellStart"/>
      <w:r>
        <w:t>Vantrepotte</w:t>
      </w:r>
      <w:proofErr w:type="spellEnd"/>
      <w:r>
        <w:t xml:space="preserve">, R. </w:t>
      </w:r>
      <w:proofErr w:type="spellStart"/>
      <w:r>
        <w:t>Frouin</w:t>
      </w:r>
      <w:proofErr w:type="spellEnd"/>
      <w:r>
        <w:t xml:space="preserve">, and G. Beaugrand, "Comprehensive gridded dataset of photosynthetically active radiation in the upper ocean from 1958 to 2022," </w:t>
      </w:r>
      <w:r>
        <w:rPr>
          <w:i/>
        </w:rPr>
        <w:t>Remote Sensing of Environment</w:t>
      </w:r>
      <w:r>
        <w:t>, vol. 311, p. 114305, 2024.</w:t>
      </w:r>
    </w:p>
    <w:sectPr w:rsidR="00C77886" w:rsidSect="005E6B62">
      <w:pgSz w:w="11906" w:h="16838" w:code="9"/>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660479">
    <w:abstractNumId w:val="8"/>
  </w:num>
  <w:num w:numId="2" w16cid:durableId="627512630">
    <w:abstractNumId w:val="6"/>
  </w:num>
  <w:num w:numId="3" w16cid:durableId="1433163589">
    <w:abstractNumId w:val="5"/>
  </w:num>
  <w:num w:numId="4" w16cid:durableId="1346321334">
    <w:abstractNumId w:val="4"/>
  </w:num>
  <w:num w:numId="5" w16cid:durableId="757138119">
    <w:abstractNumId w:val="7"/>
  </w:num>
  <w:num w:numId="6" w16cid:durableId="120539656">
    <w:abstractNumId w:val="3"/>
  </w:num>
  <w:num w:numId="7" w16cid:durableId="1689721243">
    <w:abstractNumId w:val="2"/>
  </w:num>
  <w:num w:numId="8" w16cid:durableId="593052075">
    <w:abstractNumId w:val="1"/>
  </w:num>
  <w:num w:numId="9" w16cid:durableId="186682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946"/>
    <w:rsid w:val="000F3FC5"/>
    <w:rsid w:val="0015074B"/>
    <w:rsid w:val="00241D39"/>
    <w:rsid w:val="0029639D"/>
    <w:rsid w:val="00314796"/>
    <w:rsid w:val="00326F90"/>
    <w:rsid w:val="003A6E16"/>
    <w:rsid w:val="0047229D"/>
    <w:rsid w:val="005E6B62"/>
    <w:rsid w:val="009137F4"/>
    <w:rsid w:val="00A27C94"/>
    <w:rsid w:val="00AA1D8D"/>
    <w:rsid w:val="00B47730"/>
    <w:rsid w:val="00C77886"/>
    <w:rsid w:val="00CB0664"/>
    <w:rsid w:val="00D64F39"/>
    <w:rsid w:val="00F86A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44472"/>
  <w14:defaultImageDpi w14:val="300"/>
  <w15:docId w15:val="{ADF3A6F9-16E8-4C64-85E6-CD923A55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6</cp:revision>
  <cp:lastPrinted>2026-09-30T06:48:00Z</cp:lastPrinted>
  <dcterms:created xsi:type="dcterms:W3CDTF">2013-12-23T23:15:00Z</dcterms:created>
  <dcterms:modified xsi:type="dcterms:W3CDTF">2026-10-11T05:50:00Z</dcterms:modified>
  <cp:category/>
</cp:coreProperties>
</file>