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Times New Roman" w:hAnsi="Times New Roman"/>
          <w:b/>
          <w:color w:val="000000"/>
          <w:sz w:val="36"/>
        </w:rPr>
        <w:t xml:space="preserve">Spatio-Temporal Detection and Biogeochemical Profiling of </w:t>
      </w:r>
      <w:r>
        <w:rPr>
          <w:rFonts w:ascii="Times New Roman" w:hAnsi="Times New Roman"/>
          <w:b/>
          <w:i/>
          <w:color w:val="000000"/>
          <w:sz w:val="36"/>
        </w:rPr>
        <w:t>Noctiluca scintillans</w:t>
      </w:r>
      <w:r>
        <w:rPr>
          <w:rFonts w:ascii="Times New Roman" w:hAnsi="Times New Roman"/>
          <w:b/>
          <w:color w:val="000000"/>
          <w:sz w:val="36"/>
        </w:rPr>
        <w:t xml:space="preserve"> Blooms in the Arabian Sea Using Multispectral Imagery and Hydrodynamic Reanalysis</w:t>
      </w:r>
    </w:p>
    <w:p>
      <w:pPr>
        <w:spacing w:before="0" w:after="60" w:line="264" w:lineRule="auto"/>
        <w:jc w:val="left"/>
      </w:pPr>
      <w:r>
        <w:rPr>
          <w:rFonts w:ascii="Times New Roman" w:hAnsi="Times New Roman"/>
          <w:b/>
          <w:color w:val="000000"/>
          <w:sz w:val="22"/>
        </w:rPr>
        <w:t>Aditya Kumar</w:t>
      </w:r>
      <w:r>
        <w:rPr>
          <w:rFonts w:ascii="Times New Roman" w:hAnsi="Times New Roman"/>
          <w:b w:val="0"/>
          <w:color w:val="000000"/>
          <w:sz w:val="20"/>
          <w:vertAlign w:val="superscript"/>
        </w:rPr>
        <w:t>¹</w:t>
      </w:r>
      <w:r>
        <w:rPr>
          <w:rFonts w:ascii="Times New Roman" w:hAnsi="Times New Roman"/>
          <w:b w:val="0"/>
          <w:color w:val="000000"/>
          <w:sz w:val="22"/>
        </w:rPr>
        <w:t xml:space="preserve"> and </w:t>
      </w:r>
      <w:r>
        <w:rPr>
          <w:rFonts w:ascii="Times New Roman" w:hAnsi="Times New Roman"/>
          <w:b/>
          <w:color w:val="000000"/>
          <w:sz w:val="22"/>
        </w:rPr>
        <w:t>Chandra J</w:t>
      </w:r>
      <w:r>
        <w:rPr>
          <w:rFonts w:ascii="Times New Roman" w:hAnsi="Times New Roman"/>
          <w:b w:val="0"/>
          <w:color w:val="000000"/>
          <w:sz w:val="20"/>
          <w:vertAlign w:val="superscript"/>
        </w:rPr>
        <w:t>²</w:t>
      </w:r>
    </w:p>
    <w:p>
      <w:pPr>
        <w:spacing w:before="40" w:after="30" w:line="252" w:lineRule="auto"/>
        <w:jc w:val="left"/>
      </w:pPr>
      <w:r>
        <w:rPr>
          <w:rFonts w:ascii="Times New Roman" w:hAnsi="Times New Roman"/>
          <w:color w:val="000000"/>
          <w:sz w:val="18"/>
        </w:rPr>
        <w:t>1   PG Scholar, Department of Computer Science, CHRIST University, Bengaluru, Karnataka, India; aditya.kumar@mca.christuniversity.in</w:t>
      </w:r>
    </w:p>
    <w:p>
      <w:pPr>
        <w:spacing w:before="30" w:after="240" w:line="252" w:lineRule="auto"/>
        <w:jc w:val="left"/>
      </w:pPr>
      <w:r>
        <w:rPr>
          <w:rFonts w:ascii="Times New Roman" w:hAnsi="Times New Roman"/>
          <w:color w:val="000000"/>
          <w:sz w:val="18"/>
        </w:rPr>
        <w:t>2   Professor, Department of Computer Science, CHRIST University, Bengaluru, Karnataka, India; chandra.j@christuniversity.in</w:t>
      </w:r>
    </w:p>
    <w:p>
      <w:pPr>
        <w:sectPr>
          <w:pgSz w:w="11906" w:h="16838"/>
          <w:pgMar w:top="1080" w:right="806" w:bottom="1440" w:left="806" w:header="720" w:footer="720" w:gutter="0"/>
          <w:cols w:space="720"/>
          <w:docGrid w:linePitch="360"/>
        </w:sectPr>
      </w:pPr>
    </w:p>
    <w:p>
      <w:pPr>
        <w:keepNext/>
        <w:spacing w:before="80" w:after="40"/>
        <w:jc w:val="center"/>
      </w:pPr>
      <w:r>
        <w:rPr>
          <w:rFonts w:ascii="Times New Roman" w:hAnsi="Times New Roman"/>
          <w:b/>
          <w:color w:val="000000"/>
          <w:sz w:val="20"/>
        </w:rPr>
        <w:t>ABSTRACT</w:t>
      </w:r>
    </w:p>
    <w:p>
      <w:pPr>
        <w:spacing w:before="0" w:after="80" w:line="252" w:lineRule="auto"/>
        <w:jc w:val="both"/>
      </w:pPr>
      <w:r>
        <w:rPr>
          <w:rFonts w:ascii="Times New Roman" w:hAnsi="Times New Roman"/>
          <w:b w:val="0"/>
          <w:i w:val="0"/>
          <w:color w:val="000000"/>
          <w:sz w:val="20"/>
        </w:rPr>
        <w:t xml:space="preserve">In recent years, large recurring winter blooms of the green dinoflagellate </w:t>
      </w:r>
      <w:r>
        <w:rPr>
          <w:rFonts w:ascii="Times New Roman" w:hAnsi="Times New Roman"/>
          <w:i/>
          <w:color w:val="000000"/>
          <w:sz w:val="20"/>
        </w:rPr>
        <w:t>Noctiluca scintillans</w:t>
      </w:r>
      <w:r>
        <w:rPr>
          <w:rFonts w:ascii="Times New Roman" w:hAnsi="Times New Roman"/>
          <w:b w:val="0"/>
          <w:i w:val="0"/>
          <w:color w:val="000000"/>
          <w:sz w:val="20"/>
        </w:rPr>
        <w:t xml:space="preserve"> in the northern Arabian Sea have created major environmental concerns by replacing traditional diatom populations, lowering dissolved oxygen levels, and harming coastal fisheries. Detecting and tracking these blooms using satellites is challenging because standard empirical ocean color algorithms struggle to identify mixotrophic cells that contain green endosymbionts (</w:t>
      </w:r>
      <w:r>
        <w:rPr>
          <w:rFonts w:ascii="Times New Roman" w:hAnsi="Times New Roman"/>
          <w:i/>
          <w:color w:val="000000"/>
          <w:sz w:val="20"/>
        </w:rPr>
        <w:t>Pedinomonas noctilucae</w:t>
      </w:r>
      <w:r>
        <w:rPr>
          <w:rFonts w:ascii="Times New Roman" w:hAnsi="Times New Roman"/>
          <w:b w:val="0"/>
          <w:i w:val="0"/>
          <w:color w:val="000000"/>
          <w:sz w:val="20"/>
        </w:rPr>
        <w:t>). In addition, regular satellite images only show surface 2D views without accounting for deeper water mixing and weather conditions. In this paper, we present an integrated Earth observation and data processing pipeline that combines multispectral satellite imagery (MODIS-Aqua, VIIRS, and OLCI) with ocean physical data from Copernicus Marine Service (CMEMS) and meteorological reanalysis from ECMWF ERA5. We use narrow-band remote sensing reflectance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 xml:space="preserve">) ratios at 531 nm and 510 nm along with a multilayer neural network atmospheric correction (NN-V) to accurately identify </w:t>
      </w:r>
      <w:r>
        <w:rPr>
          <w:rFonts w:ascii="Times New Roman" w:hAnsi="Times New Roman"/>
          <w:i/>
          <w:color w:val="000000"/>
          <w:sz w:val="20"/>
        </w:rPr>
        <w:t>Noctiluca</w:t>
      </w:r>
      <w:r>
        <w:rPr>
          <w:rFonts w:ascii="Times New Roman" w:hAnsi="Times New Roman"/>
          <w:b w:val="0"/>
          <w:i w:val="0"/>
          <w:color w:val="000000"/>
          <w:sz w:val="20"/>
        </w:rPr>
        <w:t xml:space="preserve"> cells and recover satellite images affected by high solar zenith angles. To analyze long-term patterns, we apply Cochrane-Orcutt autoregression and generalized least squares across multi-band reflectance over a 20-year period, separating genuine ecological trends from background environmental noise. This framework gives coastal managers a practical diagnostic tool that connects surface satellite observations with ocean mixing and dust deposition, supporting marine conservation goals under UN Sustainable Development Goal 14.</w:t>
      </w:r>
    </w:p>
    <w:p>
      <w:pPr>
        <w:spacing w:before="40" w:after="160" w:line="252" w:lineRule="auto"/>
        <w:jc w:val="both"/>
      </w:pPr>
      <w:r>
        <w:rPr>
          <w:rFonts w:ascii="Times New Roman" w:hAnsi="Times New Roman"/>
          <w:b/>
          <w:i/>
          <w:color w:val="000000"/>
          <w:sz w:val="20"/>
        </w:rPr>
        <w:t>Keywords—</w:t>
      </w:r>
      <w:r>
        <w:rPr>
          <w:rFonts w:ascii="Times New Roman" w:hAnsi="Times New Roman"/>
          <w:i/>
          <w:color w:val="000000"/>
          <w:sz w:val="20"/>
        </w:rPr>
        <w:t>Noctiluca scintillans</w:t>
      </w:r>
      <w:r>
        <w:rPr>
          <w:rFonts w:ascii="Times New Roman" w:hAnsi="Times New Roman"/>
          <w:i w:val="0"/>
          <w:color w:val="000000"/>
          <w:sz w:val="20"/>
        </w:rPr>
        <w:t>, Ocean Color Remote Sensing, Remote Sensing Reflectance, Bio-Optical Inversion, Arabian Sea, Environmental Time-Series.</w:t>
      </w:r>
    </w:p>
    <w:p>
      <w:pPr>
        <w:keepNext/>
        <w:spacing w:before="120" w:after="40"/>
        <w:jc w:val="center"/>
      </w:pPr>
      <w:r>
        <w:rPr>
          <w:rFonts w:ascii="Times New Roman" w:hAnsi="Times New Roman"/>
          <w:b/>
          <w:color w:val="000000"/>
          <w:sz w:val="20"/>
        </w:rPr>
        <w:t>I. INTRODUCTION</w:t>
      </w:r>
    </w:p>
    <w:p>
      <w:pPr>
        <w:spacing w:before="0" w:after="44" w:line="247" w:lineRule="auto"/>
        <w:jc w:val="both"/>
      </w:pPr>
      <w:r>
        <w:rPr>
          <w:rFonts w:ascii="Times New Roman" w:hAnsi="Times New Roman"/>
          <w:b w:val="0"/>
          <w:i w:val="0"/>
          <w:color w:val="000000"/>
          <w:sz w:val="20"/>
        </w:rPr>
        <w:t xml:space="preserve">The seasonal reversal of monsoon winds strongly controls ocean physics, chemistry, and biological productivity across the northern Indian Ocean [2], [3]. During the winter northeast monsoon (from December to March), cold dry winds cool the sea surface and cause evaporative cooling, which makes surface waters sink and drives convective mixing in the northern Arabian Sea [12]. This mixing brings essential nutrients such as dissolved nitrate and silicate from deeper layers into the sunlit surface zone. Historically, these nutrient-rich waters supported large seasonal blooms of diatoms, which served as the primary food source for copepods and commercial fish species while helping transfer organic carbon to the ocean floor [11]. Over the past twenty years, however, ship surveys and satellite observations show that the ecosystem is undergoing a major shift: natural diatom communities are increasingly being replaced by massive blooms of the green dinoflagellate </w:t>
      </w:r>
      <w:r>
        <w:rPr>
          <w:rFonts w:ascii="Times New Roman" w:hAnsi="Times New Roman"/>
          <w:i/>
          <w:color w:val="000000"/>
          <w:sz w:val="20"/>
        </w:rPr>
        <w:t>Noctiluca scintillans</w:t>
      </w:r>
      <w:r>
        <w:rPr>
          <w:rFonts w:ascii="Times New Roman" w:hAnsi="Times New Roman"/>
          <w:b w:val="0"/>
          <w:i w:val="0"/>
          <w:color w:val="000000"/>
          <w:sz w:val="20"/>
        </w:rPr>
        <w:t xml:space="preserve"> [1], [15]. Unlike the red variety of </w:t>
      </w:r>
      <w:r>
        <w:rPr>
          <w:rFonts w:ascii="Times New Roman" w:hAnsi="Times New Roman"/>
          <w:i/>
          <w:color w:val="000000"/>
          <w:sz w:val="20"/>
        </w:rPr>
        <w:t>Noctiluca</w:t>
      </w:r>
      <w:r>
        <w:rPr>
          <w:rFonts w:ascii="Times New Roman" w:hAnsi="Times New Roman"/>
          <w:b w:val="0"/>
          <w:i w:val="0"/>
          <w:color w:val="000000"/>
          <w:sz w:val="20"/>
        </w:rPr>
        <w:t xml:space="preserve">, green </w:t>
      </w:r>
      <w:r>
        <w:rPr>
          <w:rFonts w:ascii="Times New Roman" w:hAnsi="Times New Roman"/>
          <w:i/>
          <w:color w:val="000000"/>
          <w:sz w:val="20"/>
        </w:rPr>
        <w:t>Noctiluca</w:t>
      </w:r>
      <w:r>
        <w:rPr>
          <w:rFonts w:ascii="Times New Roman" w:hAnsi="Times New Roman"/>
          <w:b w:val="0"/>
          <w:i w:val="0"/>
          <w:color w:val="000000"/>
          <w:sz w:val="20"/>
        </w:rPr>
        <w:t xml:space="preserve"> contains millions of photosynthetic green algae endosymbionts (</w:t>
      </w:r>
      <w:r>
        <w:rPr>
          <w:rFonts w:ascii="Times New Roman" w:hAnsi="Times New Roman"/>
          <w:i/>
          <w:color w:val="000000"/>
          <w:sz w:val="20"/>
        </w:rPr>
        <w:t>Pedinomonas noctilucae</w:t>
      </w:r>
      <w:r>
        <w:rPr>
          <w:rFonts w:ascii="Times New Roman" w:hAnsi="Times New Roman"/>
          <w:b w:val="0"/>
          <w:i w:val="0"/>
          <w:color w:val="000000"/>
          <w:sz w:val="20"/>
        </w:rPr>
        <w:t xml:space="preserve">). This allows the organism to grow both by using sunlight for photosynthesis and by actively eating remaining diatoms and microscopic zooplankton [13]. Because common marine copepods avoid eating </w:t>
      </w:r>
      <w:r>
        <w:rPr>
          <w:rFonts w:ascii="Times New Roman" w:hAnsi="Times New Roman"/>
          <w:i/>
          <w:color w:val="000000"/>
          <w:sz w:val="20"/>
        </w:rPr>
        <w:t>Noctiluca</w:t>
      </w:r>
      <w:r>
        <w:rPr>
          <w:rFonts w:ascii="Times New Roman" w:hAnsi="Times New Roman"/>
          <w:b w:val="0"/>
          <w:i w:val="0"/>
          <w:color w:val="000000"/>
          <w:sz w:val="20"/>
        </w:rPr>
        <w:t xml:space="preserve"> due to its large size and cellular ammonia buildup, the bloom biomass is not transferred up the food chain to fish, but instead goes to jellyfish and salps. When these massive blooms die and sink, bacterial decay consumes large amounts of oxygen, causing severe coastal hypoxia that kills fish and damages coral reefs, conflicting with UN Sustainable Development Goal 14 [14].</w:t>
      </w:r>
    </w:p>
    <w:p>
      <w:pPr>
        <w:spacing w:before="0" w:after="44" w:line="247" w:lineRule="auto"/>
        <w:jc w:val="both"/>
      </w:pPr>
      <w:r>
        <w:rPr>
          <w:rFonts w:ascii="Times New Roman" w:hAnsi="Times New Roman"/>
          <w:b w:val="0"/>
          <w:i w:val="0"/>
          <w:color w:val="000000"/>
          <w:sz w:val="20"/>
        </w:rPr>
        <w:t>Detecting and monitoring these harmful algal blooms is an important challenge in environmental data science and marine informatics. Satellite visible sensors offer the only practical way to monitor such large marine regions on a regular basis [7], [19]. However, current satellite processing workflows suffer from three primary limitations. First, standard empirical ocean color algorithms, such as NASA's OCx band ratios, assume that all water optical properties depend strictly on chlorophyll-</w:t>
      </w:r>
      <w:r>
        <w:rPr>
          <w:rFonts w:ascii="Times New Roman" w:hAnsi="Times New Roman"/>
          <w:i/>
          <w:color w:val="000000"/>
          <w:sz w:val="20"/>
        </w:rPr>
        <w:t>a</w:t>
      </w:r>
      <w:r>
        <w:rPr>
          <w:rFonts w:ascii="Times New Roman" w:hAnsi="Times New Roman"/>
          <w:b w:val="0"/>
          <w:i w:val="0"/>
          <w:color w:val="000000"/>
          <w:sz w:val="20"/>
        </w:rPr>
        <w:t xml:space="preserve"> concentration. Mixotrophic green </w:t>
      </w:r>
      <w:r>
        <w:rPr>
          <w:rFonts w:ascii="Times New Roman" w:hAnsi="Times New Roman"/>
          <w:i/>
          <w:color w:val="000000"/>
          <w:sz w:val="20"/>
        </w:rPr>
        <w:t>Noctiluca</w:t>
      </w:r>
      <w:r>
        <w:rPr>
          <w:rFonts w:ascii="Times New Roman" w:hAnsi="Times New Roman"/>
          <w:b w:val="0"/>
          <w:i w:val="0"/>
          <w:color w:val="000000"/>
          <w:sz w:val="20"/>
        </w:rPr>
        <w:t>, however, has an unusual pigment spectrum with a distinct reflectance peak at 531 nm and strong light absorption at 510 nm due to its endosymbionts; as a result, standard algorithms misclassify bloom pixels, underestimate cell numbers, or confuse blooms with coastal sediments [17]. Second, operational remote sensing pipelines usually treat satellite rasters as flat 2D surface images [10]. Spaceborne optical sensors can only measure light from the top surface layer (</w:t>
      </w:r>
      <w:r>
        <w:rPr>
          <w:rFonts w:ascii="Times New Roman" w:hAnsi="Times New Roman"/>
          <w:i/>
          <w:color w:val="000000"/>
          <w:sz w:val="20"/>
        </w:rPr>
        <w:t>Z</w:t>
      </w:r>
      <w:r>
        <w:rPr>
          <w:rFonts w:ascii="Times New Roman" w:hAnsi="Times New Roman"/>
          <w:i/>
          <w:color w:val="000000"/>
          <w:sz w:val="20"/>
          <w:vertAlign w:val="subscript"/>
        </w:rPr>
        <w:t>pd</w:t>
      </w:r>
      <w:r>
        <w:rPr>
          <w:rFonts w:ascii="Times New Roman" w:hAnsi="Times New Roman"/>
          <w:b w:val="0"/>
          <w:i w:val="0"/>
          <w:color w:val="000000"/>
          <w:sz w:val="20"/>
        </w:rPr>
        <w:t xml:space="preserve"> ≈ 1/</w:t>
      </w:r>
      <w:r>
        <w:rPr>
          <w:rFonts w:ascii="Times New Roman" w:hAnsi="Times New Roman"/>
          <w:i/>
          <w:color w:val="000000"/>
          <w:sz w:val="20"/>
        </w:rPr>
        <w:t>K</w:t>
      </w:r>
      <w:r>
        <w:rPr>
          <w:rFonts w:ascii="Times New Roman" w:hAnsi="Times New Roman"/>
          <w:i/>
          <w:color w:val="000000"/>
          <w:sz w:val="20"/>
          <w:vertAlign w:val="subscript"/>
        </w:rPr>
        <w:t>d</w:t>
      </w:r>
      <w:r>
        <w:rPr>
          <w:rFonts w:ascii="Times New Roman" w:hAnsi="Times New Roman"/>
          <w:b w:val="0"/>
          <w:i w:val="0"/>
          <w:color w:val="000000"/>
          <w:sz w:val="20"/>
        </w:rPr>
        <w:t>), meaning they cannot observe subsurface vertical velocities, mixed-layer convective deepening, or oxygen minimum zones that trigger bloom growth [9]. Third, long-term environmental assessments often rely on single-variable chlorophyll time series, which contain heavy year-to-year natural swings and strong temporal autocorrelation (red noise), meaning it can take thirty to forty years of data before a genuine climate-driven trend can be separated from background noise [5], [6], [8].</w:t>
      </w:r>
    </w:p>
    <w:p>
      <w:pPr>
        <w:spacing w:before="0" w:after="44" w:line="247" w:lineRule="auto"/>
        <w:jc w:val="both"/>
      </w:pPr>
      <w:r>
        <w:rPr>
          <w:rFonts w:ascii="Times New Roman" w:hAnsi="Times New Roman"/>
          <w:b w:val="0"/>
          <w:i w:val="0"/>
          <w:color w:val="000000"/>
          <w:sz w:val="20"/>
        </w:rPr>
        <w:t xml:space="preserve">To solve these practical issues, this study develops an integrated computational methodology that connects satellite multi-band reflectance with physical oceanographic reanalysis data. By reviewing twenty foundational and recent papers across bio-optics, satellite calibration, atmospheric correction, and time-series statistics, we create an end-to-end framework tailored for the northern Arabian Sea. Our approach applies narrow-band reflectance ratios at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 xml:space="preserve">(531) and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 xml:space="preserve">(510) to calculate </w:t>
      </w:r>
      <w:r>
        <w:rPr>
          <w:rFonts w:ascii="Times New Roman" w:hAnsi="Times New Roman"/>
          <w:i/>
          <w:color w:val="000000"/>
          <w:sz w:val="20"/>
        </w:rPr>
        <w:t>Noctiluca</w:t>
      </w:r>
      <w:r>
        <w:rPr>
          <w:rFonts w:ascii="Times New Roman" w:hAnsi="Times New Roman"/>
          <w:b w:val="0"/>
          <w:i w:val="0"/>
          <w:color w:val="000000"/>
          <w:sz w:val="20"/>
        </w:rPr>
        <w:t xml:space="preserve"> cell densities [1], uses a multilayer neural network atmospheric correction to restore winter satellite images affected by high solar zenith angles [4], integrates daily Copernicus Marine Service (CMEMS) hydrodynamic mixing layers [2], and applies multivariate autoregressive regression across visible spectral bands to detect emerging decadal shifts over a 20-year satellite record [5].</w:t>
      </w:r>
    </w:p>
    <w:p>
      <w:pPr>
        <w:keepNext/>
        <w:spacing w:before="120" w:after="40"/>
        <w:jc w:val="center"/>
      </w:pPr>
      <w:r>
        <w:rPr>
          <w:rFonts w:ascii="Times New Roman" w:hAnsi="Times New Roman"/>
          <w:b/>
          <w:color w:val="000000"/>
          <w:sz w:val="20"/>
        </w:rPr>
        <w:t>II. RELATED WORKS</w:t>
      </w:r>
    </w:p>
    <w:p>
      <w:pPr>
        <w:spacing w:before="0" w:after="44" w:line="247" w:lineRule="auto"/>
        <w:jc w:val="both"/>
      </w:pPr>
      <w:r>
        <w:rPr>
          <w:rFonts w:ascii="Times New Roman" w:hAnsi="Times New Roman"/>
          <w:b w:val="0"/>
          <w:i w:val="0"/>
          <w:color w:val="000000"/>
          <w:sz w:val="20"/>
        </w:rPr>
        <w:t>To build a solid methodology, we organize the literature into four connected areas: (A) Regional Arabian Sea Bloom Dynamics and Hydro-Atmospheric Drivers, (B) Bio-Optical Remote Sensing and Satellite Inversion Modeling, (C) Satellite Data Calibration and Atmospheric Correction Under Complex Geometry, and (D) Statistical Trend Detection and Climate Time of Emergence.</w:t>
      </w:r>
    </w:p>
    <w:p>
      <w:pPr>
        <w:keepNext/>
        <w:spacing w:before="90" w:after="24"/>
        <w:jc w:val="left"/>
      </w:pPr>
      <w:r>
        <w:rPr>
          <w:rFonts w:ascii="Times New Roman" w:hAnsi="Times New Roman"/>
          <w:b/>
          <w:i/>
          <w:color w:val="000000"/>
          <w:sz w:val="20"/>
        </w:rPr>
        <w:t>A. Regional Arabian Sea Bloom Dynamics and Hydro-Atmospheric Drivers</w:t>
      </w:r>
    </w:p>
    <w:p>
      <w:pPr>
        <w:spacing w:before="0" w:after="44" w:line="247" w:lineRule="auto"/>
        <w:jc w:val="both"/>
      </w:pPr>
      <w:r>
        <w:rPr>
          <w:rFonts w:ascii="Times New Roman" w:hAnsi="Times New Roman"/>
          <w:b w:val="0"/>
          <w:i w:val="0"/>
          <w:color w:val="000000"/>
          <w:sz w:val="20"/>
        </w:rPr>
        <w:t xml:space="preserve">Pandi et al. [1] carried out field experiments in the northeastern Arabian Sea using water samples and optical data collected from the research vessel FORV </w:t>
      </w:r>
      <w:r>
        <w:rPr>
          <w:rFonts w:ascii="Times New Roman" w:hAnsi="Times New Roman"/>
          <w:i/>
          <w:color w:val="000000"/>
          <w:sz w:val="20"/>
        </w:rPr>
        <w:t>Sagar Sampada</w:t>
      </w:r>
      <w:r>
        <w:rPr>
          <w:rFonts w:ascii="Times New Roman" w:hAnsi="Times New Roman"/>
          <w:b w:val="0"/>
          <w:i w:val="0"/>
          <w:color w:val="000000"/>
          <w:sz w:val="20"/>
        </w:rPr>
        <w:t xml:space="preserve">. They showed that the reflectance band ratio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(531)/</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(510) has a very strong linear correlation (</w:t>
      </w:r>
      <w:r>
        <w:rPr>
          <w:rFonts w:ascii="Times New Roman" w:hAnsi="Times New Roman"/>
          <w:i/>
          <w:color w:val="000000"/>
          <w:sz w:val="20"/>
        </w:rPr>
        <w:t>R</w:t>
      </w:r>
      <w:r>
        <w:rPr>
          <w:rFonts w:ascii="Times New Roman" w:hAnsi="Times New Roman"/>
          <w:i w:val="0"/>
          <w:color w:val="000000"/>
          <w:sz w:val="20"/>
          <w:vertAlign w:val="superscript"/>
        </w:rPr>
        <w:t>2</w:t>
      </w:r>
      <w:r>
        <w:rPr>
          <w:rFonts w:ascii="Times New Roman" w:hAnsi="Times New Roman"/>
          <w:i/>
          <w:color w:val="000000"/>
          <w:sz w:val="20"/>
          <w:vertAlign w:val="subscript"/>
        </w:rPr>
        <w:t>adj</w:t>
      </w:r>
      <w:r>
        <w:rPr>
          <w:rFonts w:ascii="Times New Roman" w:hAnsi="Times New Roman"/>
          <w:b w:val="0"/>
          <w:i w:val="0"/>
          <w:color w:val="000000"/>
          <w:sz w:val="20"/>
        </w:rPr>
        <w:t xml:space="preserve"> = 0.99, </w:t>
      </w:r>
      <w:r>
        <w:rPr>
          <w:rFonts w:ascii="Times New Roman" w:hAnsi="Times New Roman"/>
          <w:i/>
          <w:color w:val="000000"/>
          <w:sz w:val="20"/>
        </w:rPr>
        <w:t>p</w:t>
      </w:r>
      <w:r>
        <w:rPr>
          <w:rFonts w:ascii="Times New Roman" w:hAnsi="Times New Roman"/>
          <w:b w:val="0"/>
          <w:i w:val="0"/>
          <w:color w:val="000000"/>
          <w:sz w:val="20"/>
        </w:rPr>
        <w:t xml:space="preserve"> &lt; 10⁻⁴) with </w:t>
      </w:r>
      <w:r>
        <w:rPr>
          <w:rFonts w:ascii="Times New Roman" w:hAnsi="Times New Roman"/>
          <w:i/>
          <w:color w:val="000000"/>
          <w:sz w:val="20"/>
        </w:rPr>
        <w:t>Noctiluca</w:t>
      </w:r>
      <w:r>
        <w:rPr>
          <w:rFonts w:ascii="Times New Roman" w:hAnsi="Times New Roman"/>
          <w:b w:val="0"/>
          <w:i w:val="0"/>
          <w:color w:val="000000"/>
          <w:sz w:val="20"/>
        </w:rPr>
        <w:t xml:space="preserve"> cell counts. This happens because the green endosymbionts cause a reflectance peak at 531 nm and carotenoid absorption at 510 nm, making this ratio a reliable index to track bloom density in both coastal and open waters.</w:t>
      </w:r>
    </w:p>
    <w:p>
      <w:pPr>
        <w:spacing w:before="0" w:after="44" w:line="247" w:lineRule="auto"/>
        <w:jc w:val="both"/>
      </w:pPr>
      <w:r>
        <w:rPr>
          <w:rFonts w:ascii="Times New Roman" w:hAnsi="Times New Roman"/>
          <w:b w:val="0"/>
          <w:i w:val="0"/>
          <w:color w:val="000000"/>
          <w:sz w:val="20"/>
        </w:rPr>
        <w:t>Shi and Wang [2] analyzed satellite images from the VIIRS sensor between 2012 and 2019, comparing them with earlier SeaWiFS data and GODAS ocean models. They found that summer blooms near the western Arabian Sea are driven by strong coastal upwelling and upward Ekman pumping, where vertical water velocities reach around 1 m/day at 70 m depth. On the other hand, winter blooms in the northern Arabian Sea occur because cold northeast monsoon winds cool the surface and deepen the mixed layer to about 80 m, bringing nutrients up to the surface.</w:t>
      </w:r>
    </w:p>
    <w:p>
      <w:pPr>
        <w:spacing w:before="0" w:after="44" w:line="247" w:lineRule="auto"/>
        <w:jc w:val="both"/>
      </w:pPr>
      <w:r>
        <w:rPr>
          <w:rFonts w:ascii="Times New Roman" w:hAnsi="Times New Roman"/>
          <w:b w:val="0"/>
          <w:i w:val="0"/>
          <w:color w:val="000000"/>
          <w:sz w:val="20"/>
        </w:rPr>
        <w:t>Kuttippurath et al. [3] examined primary productivity and chlorophyll changes across the north Indian Ocean from 1998 to 2019 using OC-CCI satellite data, CMEMS models, and MERRA-2 dust records. They observed that primary productivity decreased by -0.048 mg m⁻³ day⁻¹ per year, while sea surface temperature increased by +0.02 °C per year. They also noted that wind patterns carrying mineral dust from deserts in the Arabian Peninsula supply iron and phosphorus, which can trigger algae blooms even without strong upwelling.</w:t>
      </w:r>
    </w:p>
    <w:p>
      <w:pPr>
        <w:spacing w:before="0" w:after="44" w:line="247" w:lineRule="auto"/>
        <w:jc w:val="both"/>
      </w:pPr>
      <w:r>
        <w:rPr>
          <w:rFonts w:ascii="Times New Roman" w:hAnsi="Times New Roman"/>
          <w:b w:val="0"/>
          <w:i w:val="0"/>
          <w:color w:val="000000"/>
          <w:sz w:val="20"/>
        </w:rPr>
        <w:t xml:space="preserve">Goes et al. [11] explained the broader climate factors behind the ecological shift in the Arabian Sea. They linked declining winter snow cover over the Himalayan-Tibetan Plateau to changes in monsoon winds. This reduced winter convective mixing and lowered the amount of dissolved silicate reaching the surface compared to nitrogen. Because diatoms require silicate to build their cell walls, this imbalance allowed green </w:t>
      </w:r>
      <w:r>
        <w:rPr>
          <w:rFonts w:ascii="Times New Roman" w:hAnsi="Times New Roman"/>
          <w:i/>
          <w:color w:val="000000"/>
          <w:sz w:val="20"/>
        </w:rPr>
        <w:t>Noctiluca</w:t>
      </w:r>
      <w:r>
        <w:rPr>
          <w:rFonts w:ascii="Times New Roman" w:hAnsi="Times New Roman"/>
          <w:b w:val="0"/>
          <w:i w:val="0"/>
          <w:color w:val="000000"/>
          <w:sz w:val="20"/>
        </w:rPr>
        <w:t>, which does not need silicate, to multiply rapidly.</w:t>
      </w:r>
    </w:p>
    <w:p>
      <w:pPr>
        <w:spacing w:before="0" w:after="44" w:line="247" w:lineRule="auto"/>
        <w:jc w:val="both"/>
      </w:pPr>
      <w:r>
        <w:rPr>
          <w:rFonts w:ascii="Times New Roman" w:hAnsi="Times New Roman"/>
          <w:b w:val="0"/>
          <w:i w:val="0"/>
          <w:color w:val="000000"/>
          <w:sz w:val="20"/>
        </w:rPr>
        <w:t>Lakshmi et al. [12] used CTD instruments and water samples to study the conditions that trigger winter blooms. Using Sverdrup critical depth theory, they showed that bloom formation happens in two stages: winter cooling first mixes the water column deeply to pull nitrate into the surface layer, and then daytime sunlight warms the upper layer, making it shallow enough for the photosynthetic endosymbionts to get enough light to grow.</w:t>
      </w:r>
    </w:p>
    <w:p>
      <w:pPr>
        <w:spacing w:before="0" w:after="44" w:line="247" w:lineRule="auto"/>
        <w:jc w:val="both"/>
      </w:pPr>
      <w:r>
        <w:rPr>
          <w:rFonts w:ascii="Times New Roman" w:hAnsi="Times New Roman"/>
          <w:b w:val="0"/>
          <w:i w:val="0"/>
          <w:color w:val="000000"/>
          <w:sz w:val="20"/>
        </w:rPr>
        <w:t xml:space="preserve">Asha Devi et al. [13] studied how </w:t>
      </w:r>
      <w:r>
        <w:rPr>
          <w:rFonts w:ascii="Times New Roman" w:hAnsi="Times New Roman"/>
          <w:i/>
          <w:color w:val="000000"/>
          <w:sz w:val="20"/>
        </w:rPr>
        <w:t>Noctiluca</w:t>
      </w:r>
      <w:r>
        <w:rPr>
          <w:rFonts w:ascii="Times New Roman" w:hAnsi="Times New Roman"/>
          <w:b w:val="0"/>
          <w:i w:val="0"/>
          <w:color w:val="000000"/>
          <w:sz w:val="20"/>
        </w:rPr>
        <w:t xml:space="preserve"> blooms disrupt the local marine food chain in the northeastern Arabian Sea. Under normal conditions, diatoms are eaten by copepods, which are then eaten by fish. However, copepods avoid eating </w:t>
      </w:r>
      <w:r>
        <w:rPr>
          <w:rFonts w:ascii="Times New Roman" w:hAnsi="Times New Roman"/>
          <w:i/>
          <w:color w:val="000000"/>
          <w:sz w:val="20"/>
        </w:rPr>
        <w:t>Noctiluca</w:t>
      </w:r>
      <w:r>
        <w:rPr>
          <w:rFonts w:ascii="Times New Roman" w:hAnsi="Times New Roman"/>
          <w:b w:val="0"/>
          <w:i w:val="0"/>
          <w:color w:val="000000"/>
          <w:sz w:val="20"/>
        </w:rPr>
        <w:t xml:space="preserve"> because of its large cell size and high ammonia content. As a result, the energy moves into jellyfish, salps, and smaller microzooplankton instead of commercial fish species.</w:t>
      </w:r>
    </w:p>
    <w:p>
      <w:pPr>
        <w:spacing w:before="0" w:after="44" w:line="247" w:lineRule="auto"/>
        <w:jc w:val="both"/>
      </w:pPr>
      <w:r>
        <w:rPr>
          <w:rFonts w:ascii="Times New Roman" w:hAnsi="Times New Roman"/>
          <w:b w:val="0"/>
          <w:i w:val="0"/>
          <w:color w:val="000000"/>
          <w:sz w:val="20"/>
        </w:rPr>
        <w:t xml:space="preserve">Raj et al. [14] reported on the severe impact of decaying </w:t>
      </w:r>
      <w:r>
        <w:rPr>
          <w:rFonts w:ascii="Times New Roman" w:hAnsi="Times New Roman"/>
          <w:i/>
          <w:color w:val="000000"/>
          <w:sz w:val="20"/>
        </w:rPr>
        <w:t>Noctiluca</w:t>
      </w:r>
      <w:r>
        <w:rPr>
          <w:rFonts w:ascii="Times New Roman" w:hAnsi="Times New Roman"/>
          <w:b w:val="0"/>
          <w:i w:val="0"/>
          <w:color w:val="000000"/>
          <w:sz w:val="20"/>
        </w:rPr>
        <w:t xml:space="preserve"> blooms along the southern coast of India. When the large bloom died, bacteria consumed huge amounts of oxygen to break down the cells, causing dissolved oxygen levels to drop below 1.5 mg/L. This sudden drop in oxygen killed local fish and damaged coral reefs, showing why early satellite detection is critical for coastal areas.</w:t>
      </w:r>
    </w:p>
    <w:p>
      <w:pPr>
        <w:spacing w:before="0" w:after="44" w:line="247" w:lineRule="auto"/>
        <w:jc w:val="both"/>
      </w:pPr>
      <w:r>
        <w:rPr>
          <w:rFonts w:ascii="Times New Roman" w:hAnsi="Times New Roman"/>
          <w:b w:val="0"/>
          <w:i w:val="0"/>
          <w:color w:val="000000"/>
          <w:sz w:val="20"/>
        </w:rPr>
        <w:t xml:space="preserve">Xiang et al. [15] conducted laboratory incubation experiments off the coast of Pakistan to understand why </w:t>
      </w:r>
      <w:r>
        <w:rPr>
          <w:rFonts w:ascii="Times New Roman" w:hAnsi="Times New Roman"/>
          <w:i/>
          <w:color w:val="000000"/>
          <w:sz w:val="20"/>
        </w:rPr>
        <w:t>Noctiluca</w:t>
      </w:r>
      <w:r>
        <w:rPr>
          <w:rFonts w:ascii="Times New Roman" w:hAnsi="Times New Roman"/>
          <w:b w:val="0"/>
          <w:i w:val="0"/>
          <w:color w:val="000000"/>
          <w:sz w:val="20"/>
        </w:rPr>
        <w:t xml:space="preserve"> outcompetes diatoms in winter. They observed that diatoms stop growing once dissolved nutrients like silicate run out. In contrast, green </w:t>
      </w:r>
      <w:r>
        <w:rPr>
          <w:rFonts w:ascii="Times New Roman" w:hAnsi="Times New Roman"/>
          <w:i/>
          <w:color w:val="000000"/>
          <w:sz w:val="20"/>
        </w:rPr>
        <w:t>Noctiluca</w:t>
      </w:r>
      <w:r>
        <w:rPr>
          <w:rFonts w:ascii="Times New Roman" w:hAnsi="Times New Roman"/>
          <w:b w:val="0"/>
          <w:i w:val="0"/>
          <w:color w:val="000000"/>
          <w:sz w:val="20"/>
        </w:rPr>
        <w:t xml:space="preserve"> can switch between photosynthesis using its green endosymbionts and directly feeding on remaining diatom cells, allowing it to survive and grow even in nutrient-poor conditions.</w:t>
      </w:r>
    </w:p>
    <w:p>
      <w:pPr>
        <w:spacing w:before="0" w:after="44" w:line="247" w:lineRule="auto"/>
        <w:jc w:val="both"/>
      </w:pPr>
      <w:r>
        <w:rPr>
          <w:rFonts w:ascii="Times New Roman" w:hAnsi="Times New Roman"/>
          <w:b w:val="0"/>
          <w:i w:val="0"/>
          <w:color w:val="000000"/>
          <w:sz w:val="20"/>
        </w:rPr>
        <w:t>Sarma et al. [16] investigated water chemistry and oxygen levels during winter blooms in the northeastern Arabian Sea. By measuring carbon and nitrogen isotopes along with dissolved oxygen, they proved that blooms start in well-oxygenated surface water (oxygen saturation above 85%) during convective mixing. Hypoxia only develops later when the dead bloom sinks and decomposes, clarifying that low oxygen is a result of the bloom rather than its cause.</w:t>
      </w:r>
    </w:p>
    <w:p>
      <w:pPr>
        <w:spacing w:before="0" w:after="44" w:line="247" w:lineRule="auto"/>
        <w:jc w:val="both"/>
      </w:pPr>
      <w:r>
        <w:rPr>
          <w:rFonts w:ascii="Times New Roman" w:hAnsi="Times New Roman"/>
          <w:b w:val="0"/>
          <w:i w:val="0"/>
          <w:color w:val="000000"/>
          <w:sz w:val="20"/>
        </w:rPr>
        <w:t>Kuttippurath et al. [18] investigated how tropical storms and cyclones affect phytoplankton growth in the north Indian Ocean. Strong cyclonic winds create intense mixing that pulls cold, nutrient-rich water up from deeper layers, triggering large algal blooms in desert ocean areas. This highlights the importance of including meteorological events in ocean monitoring systems.</w:t>
      </w:r>
    </w:p>
    <w:p>
      <w:pPr>
        <w:keepNext/>
        <w:spacing w:before="90" w:after="24"/>
        <w:jc w:val="left"/>
      </w:pPr>
      <w:r>
        <w:rPr>
          <w:rFonts w:ascii="Times New Roman" w:hAnsi="Times New Roman"/>
          <w:b/>
          <w:i/>
          <w:color w:val="000000"/>
          <w:sz w:val="20"/>
        </w:rPr>
        <w:t>B. Bio-Optical Remote Sensing and Satellite Inversion Modeling</w:t>
      </w:r>
    </w:p>
    <w:p>
      <w:pPr>
        <w:spacing w:before="0" w:after="44" w:line="247" w:lineRule="auto"/>
        <w:jc w:val="both"/>
      </w:pPr>
      <w:r>
        <w:rPr>
          <w:rFonts w:ascii="Times New Roman" w:hAnsi="Times New Roman"/>
          <w:b w:val="0"/>
          <w:i w:val="0"/>
          <w:color w:val="000000"/>
          <w:sz w:val="20"/>
        </w:rPr>
        <w:t>Cael et al. [5] showed that satellite trend analysis can be improved by studying full spectral reflectance rather than only chlorophyll-</w:t>
      </w:r>
      <w:r>
        <w:rPr>
          <w:rFonts w:ascii="Times New Roman" w:hAnsi="Times New Roman"/>
          <w:i/>
          <w:color w:val="000000"/>
          <w:sz w:val="20"/>
        </w:rPr>
        <w:t>a</w:t>
      </w:r>
      <w:r>
        <w:rPr>
          <w:rFonts w:ascii="Times New Roman" w:hAnsi="Times New Roman"/>
          <w:b w:val="0"/>
          <w:i w:val="0"/>
          <w:color w:val="000000"/>
          <w:sz w:val="20"/>
        </w:rPr>
        <w:t>. Analyzing a 20-year dataset (2002–2022) of MODIS-Aqua images across ten visible channels, and applying the Cochrane-Orcutt method to remove serial autocorrelation, they detected clear climate-driven trends in about 40% of the world's oceans. Their work proved that multi-band reflectance reveals ecosystem changes decades sooner than single-variable chlorophyll records.</w:t>
      </w:r>
    </w:p>
    <w:p>
      <w:pPr>
        <w:spacing w:before="0" w:after="44" w:line="247" w:lineRule="auto"/>
        <w:jc w:val="both"/>
      </w:pPr>
      <w:r>
        <w:rPr>
          <w:rFonts w:ascii="Times New Roman" w:hAnsi="Times New Roman"/>
          <w:b w:val="0"/>
          <w:i w:val="0"/>
          <w:color w:val="000000"/>
          <w:sz w:val="20"/>
        </w:rPr>
        <w:t>Dutkiewicz et al. [6] used a 3D ocean ecosystem model combined with radiative transfer calculations to predict ocean color changes over the 21st century under climate change. They showed that reflectance in the blue-green range (around 487–512 nm) has less year-to-year variation than chlorophyll-</w:t>
      </w:r>
      <w:r>
        <w:rPr>
          <w:rFonts w:ascii="Times New Roman" w:hAnsi="Times New Roman"/>
          <w:i/>
          <w:color w:val="000000"/>
          <w:sz w:val="20"/>
        </w:rPr>
        <w:t>a</w:t>
      </w:r>
      <w:r>
        <w:rPr>
          <w:rFonts w:ascii="Times New Roman" w:hAnsi="Times New Roman"/>
          <w:b w:val="0"/>
          <w:i w:val="0"/>
          <w:color w:val="000000"/>
          <w:sz w:val="20"/>
        </w:rPr>
        <w:t>, allowing earlier detection of climate signals. They also found that shifting levels of organic matter cause standard empirical chlorophyll formulas to lose accuracy over long periods.</w:t>
      </w:r>
    </w:p>
    <w:p>
      <w:pPr>
        <w:spacing w:before="0" w:after="44" w:line="247" w:lineRule="auto"/>
        <w:jc w:val="both"/>
      </w:pPr>
      <w:r>
        <w:rPr>
          <w:rFonts w:ascii="Times New Roman" w:hAnsi="Times New Roman"/>
          <w:b w:val="0"/>
          <w:i w:val="0"/>
          <w:color w:val="000000"/>
          <w:sz w:val="20"/>
        </w:rPr>
        <w:t>Bisson et al. [9] validated satellite particulate backscattering (</w:t>
      </w:r>
      <w:r>
        <w:rPr>
          <w:rFonts w:ascii="Times New Roman" w:hAnsi="Times New Roman"/>
          <w:i/>
          <w:color w:val="000000"/>
          <w:sz w:val="20"/>
        </w:rPr>
        <w:t>b</w:t>
      </w:r>
      <w:r>
        <w:rPr>
          <w:rFonts w:ascii="Times New Roman" w:hAnsi="Times New Roman"/>
          <w:i w:val="0"/>
          <w:color w:val="000000"/>
          <w:sz w:val="20"/>
          <w:vertAlign w:val="subscript"/>
        </w:rPr>
        <w:t>bp</w:t>
      </w:r>
      <w:r>
        <w:rPr>
          <w:rFonts w:ascii="Times New Roman" w:hAnsi="Times New Roman"/>
          <w:b w:val="0"/>
          <w:i w:val="0"/>
          <w:color w:val="000000"/>
          <w:sz w:val="20"/>
        </w:rPr>
        <w:t>) products from MODIS, VIIRS, and OLCI by comparing them with 2,486 measurements taken by autonomous Biogeochemical Argo (BGC-Argo) floats at 700 nm. Testing the GSM, QAA, and GIOP models, they found that the standard GSM model overestimates backscattering by up to 50% in low-to-medium biomass waters because it assumes a fixed spectral slope (</w:t>
      </w:r>
      <w:r>
        <w:rPr>
          <w:rFonts w:ascii="Times New Roman" w:hAnsi="Times New Roman"/>
          <w:i/>
          <w:color w:val="000000"/>
          <w:sz w:val="20"/>
        </w:rPr>
        <w:t>γ</w:t>
      </w:r>
      <w:r>
        <w:rPr>
          <w:rFonts w:ascii="Times New Roman" w:hAnsi="Times New Roman"/>
          <w:b w:val="0"/>
          <w:i w:val="0"/>
          <w:color w:val="000000"/>
          <w:sz w:val="20"/>
        </w:rPr>
        <w:t xml:space="preserve"> = 1). In contrast, QAA and GIOP calculate </w:t>
      </w:r>
      <w:r>
        <w:rPr>
          <w:rFonts w:ascii="Times New Roman" w:hAnsi="Times New Roman"/>
          <w:i/>
          <w:color w:val="000000"/>
          <w:sz w:val="20"/>
        </w:rPr>
        <w:t>γ</w:t>
      </w:r>
      <w:r>
        <w:rPr>
          <w:rFonts w:ascii="Times New Roman" w:hAnsi="Times New Roman"/>
          <w:b w:val="0"/>
          <w:i w:val="0"/>
          <w:color w:val="000000"/>
          <w:sz w:val="20"/>
        </w:rPr>
        <w:t xml:space="preserve"> dynamically based on blue-to-green ratios, providing much higher accuracy.</w:t>
      </w:r>
    </w:p>
    <w:p>
      <w:pPr>
        <w:spacing w:before="0" w:after="44" w:line="247" w:lineRule="auto"/>
        <w:jc w:val="both"/>
      </w:pPr>
      <w:r>
        <w:rPr>
          <w:rFonts w:ascii="Times New Roman" w:hAnsi="Times New Roman"/>
          <w:b w:val="0"/>
          <w:i w:val="0"/>
          <w:color w:val="000000"/>
          <w:sz w:val="20"/>
        </w:rPr>
        <w:t>Loisel et al. [20] developed the LS2 semi-analytical inversion model to calculate seawater absorption (</w:t>
      </w:r>
      <w:r>
        <w:rPr>
          <w:rFonts w:ascii="Times New Roman" w:hAnsi="Times New Roman"/>
          <w:i/>
          <w:color w:val="000000"/>
          <w:sz w:val="20"/>
        </w:rPr>
        <w:t>a</w:t>
      </w:r>
      <w:r>
        <w:rPr>
          <w:rFonts w:ascii="Times New Roman" w:hAnsi="Times New Roman"/>
          <w:b w:val="0"/>
          <w:i w:val="0"/>
          <w:color w:val="000000"/>
          <w:sz w:val="20"/>
        </w:rPr>
        <w:t>) and particulate backscattering (</w:t>
      </w:r>
      <w:r>
        <w:rPr>
          <w:rFonts w:ascii="Times New Roman" w:hAnsi="Times New Roman"/>
          <w:i/>
          <w:color w:val="000000"/>
          <w:sz w:val="20"/>
        </w:rPr>
        <w:t>b</w:t>
      </w:r>
      <w:r>
        <w:rPr>
          <w:rFonts w:ascii="Times New Roman" w:hAnsi="Times New Roman"/>
          <w:i w:val="0"/>
          <w:color w:val="000000"/>
          <w:sz w:val="20"/>
          <w:vertAlign w:val="subscript"/>
        </w:rPr>
        <w:t>bp</w:t>
      </w:r>
      <w:r>
        <w:rPr>
          <w:rFonts w:ascii="Times New Roman" w:hAnsi="Times New Roman"/>
          <w:b w:val="0"/>
          <w:i w:val="0"/>
          <w:color w:val="000000"/>
          <w:sz w:val="20"/>
        </w:rPr>
        <w:t>) from remote sensing reflectance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 and sun angle without making rigid assumptions about the spectral shape of water constituents. Using Hydrolight simulations and global field data, they demonstrated high retrieval accuracy (</w:t>
      </w:r>
      <w:r>
        <w:rPr>
          <w:rFonts w:ascii="Times New Roman" w:hAnsi="Times New Roman"/>
          <w:i/>
          <w:color w:val="000000"/>
          <w:sz w:val="20"/>
        </w:rPr>
        <w:t>R</w:t>
      </w:r>
      <w:r>
        <w:rPr>
          <w:rFonts w:ascii="Times New Roman" w:hAnsi="Times New Roman"/>
          <w:i w:val="0"/>
          <w:color w:val="000000"/>
          <w:sz w:val="20"/>
          <w:vertAlign w:val="superscript"/>
        </w:rPr>
        <w:t>2</w:t>
      </w:r>
      <w:r>
        <w:rPr>
          <w:rFonts w:ascii="Times New Roman" w:hAnsi="Times New Roman"/>
          <w:b w:val="0"/>
          <w:i w:val="0"/>
          <w:color w:val="000000"/>
          <w:sz w:val="20"/>
        </w:rPr>
        <w:t xml:space="preserve"> &gt; 0.96) in both open ocean and coastal waters, making LS2 a reliable inversion method.</w:t>
      </w:r>
    </w:p>
    <w:p>
      <w:pPr>
        <w:spacing w:before="0" w:after="44" w:line="247" w:lineRule="auto"/>
        <w:jc w:val="both"/>
      </w:pPr>
      <w:r>
        <w:rPr>
          <w:rFonts w:ascii="Times New Roman" w:hAnsi="Times New Roman"/>
          <w:b w:val="0"/>
          <w:i w:val="0"/>
          <w:color w:val="000000"/>
          <w:sz w:val="20"/>
        </w:rPr>
        <w:t xml:space="preserve">Baliarsingh et al. [17] designed an optical classification method using MODIS-Aqua satellite data to distinguish between green mixotrophic </w:t>
      </w:r>
      <w:r>
        <w:rPr>
          <w:rFonts w:ascii="Times New Roman" w:hAnsi="Times New Roman"/>
          <w:i/>
          <w:color w:val="000000"/>
          <w:sz w:val="20"/>
        </w:rPr>
        <w:t>Noctiluca</w:t>
      </w:r>
      <w:r>
        <w:rPr>
          <w:rFonts w:ascii="Times New Roman" w:hAnsi="Times New Roman"/>
          <w:b w:val="0"/>
          <w:i w:val="0"/>
          <w:color w:val="000000"/>
          <w:sz w:val="20"/>
        </w:rPr>
        <w:t xml:space="preserve"> and red heterotrophic </w:t>
      </w:r>
      <w:r>
        <w:rPr>
          <w:rFonts w:ascii="Times New Roman" w:hAnsi="Times New Roman"/>
          <w:i/>
          <w:color w:val="000000"/>
          <w:sz w:val="20"/>
        </w:rPr>
        <w:t>Noctiluca</w:t>
      </w:r>
      <w:r>
        <w:rPr>
          <w:rFonts w:ascii="Times New Roman" w:hAnsi="Times New Roman"/>
          <w:b w:val="0"/>
          <w:i w:val="0"/>
          <w:color w:val="000000"/>
          <w:sz w:val="20"/>
        </w:rPr>
        <w:t xml:space="preserve"> in the northern Indian Ocean. By examining absorption from prasinoxanthin and chlorophyll-</w:t>
      </w:r>
      <w:r>
        <w:rPr>
          <w:rFonts w:ascii="Times New Roman" w:hAnsi="Times New Roman"/>
          <w:i/>
          <w:color w:val="000000"/>
          <w:sz w:val="20"/>
        </w:rPr>
        <w:t>b</w:t>
      </w:r>
      <w:r>
        <w:rPr>
          <w:rFonts w:ascii="Times New Roman" w:hAnsi="Times New Roman"/>
          <w:b w:val="0"/>
          <w:i w:val="0"/>
          <w:color w:val="000000"/>
          <w:sz w:val="20"/>
        </w:rPr>
        <w:t xml:space="preserve">, they showed that green </w:t>
      </w:r>
      <w:r>
        <w:rPr>
          <w:rFonts w:ascii="Times New Roman" w:hAnsi="Times New Roman"/>
          <w:i/>
          <w:color w:val="000000"/>
          <w:sz w:val="20"/>
        </w:rPr>
        <w:t>Noctiluca</w:t>
      </w:r>
      <w:r>
        <w:rPr>
          <w:rFonts w:ascii="Times New Roman" w:hAnsi="Times New Roman"/>
          <w:b w:val="0"/>
          <w:i w:val="0"/>
          <w:color w:val="000000"/>
          <w:sz w:val="20"/>
        </w:rPr>
        <w:t xml:space="preserve"> has higher reflectance in green wavelengths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 xml:space="preserve">(531),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(551)) and lower reflectance in blue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(443)), which helps separate it from regular diatom blooms in satellite imagery.</w:t>
      </w:r>
    </w:p>
    <w:p>
      <w:pPr>
        <w:keepNext/>
        <w:spacing w:before="90" w:after="24"/>
        <w:jc w:val="left"/>
      </w:pPr>
      <w:r>
        <w:rPr>
          <w:rFonts w:ascii="Times New Roman" w:hAnsi="Times New Roman"/>
          <w:b/>
          <w:i/>
          <w:color w:val="000000"/>
          <w:sz w:val="20"/>
        </w:rPr>
        <w:t>C. Satellite Data Calibration and Atmospheric Correction Under Complex Geometry</w:t>
      </w:r>
    </w:p>
    <w:p>
      <w:pPr>
        <w:spacing w:before="0" w:after="44" w:line="247" w:lineRule="auto"/>
        <w:jc w:val="both"/>
      </w:pPr>
      <w:r>
        <w:rPr>
          <w:rFonts w:ascii="Times New Roman" w:hAnsi="Times New Roman"/>
          <w:b w:val="0"/>
          <w:i w:val="0"/>
          <w:color w:val="000000"/>
          <w:sz w:val="20"/>
        </w:rPr>
        <w:t xml:space="preserve">Li et al. [4] evaluated VIIRS satellite reflectance data from 2012 to 2021 against the global OC-CCI dataset, finding that high solar zenith angles (&gt;70°) severely degrade image quality. Under these conditions, the longer atmospheric path and increased scattering cause standard near-infrared atmospheric correction to underestimate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 xml:space="preserve"> by up to 50% (-38.59% bias). They built a single-layer neural network model (NN-V) that reduced the error to -5.27% and increased the amount of usable winter satellite data nearly twenty times.</w:t>
      </w:r>
    </w:p>
    <w:p>
      <w:pPr>
        <w:spacing w:before="0" w:after="44" w:line="247" w:lineRule="auto"/>
        <w:jc w:val="both"/>
      </w:pPr>
      <w:r>
        <w:rPr>
          <w:rFonts w:ascii="Times New Roman" w:hAnsi="Times New Roman"/>
          <w:b w:val="0"/>
          <w:i w:val="0"/>
          <w:color w:val="000000"/>
          <w:sz w:val="20"/>
        </w:rPr>
        <w:t>Sathyendranath et al. [7] described how the ESA Ocean Colour Climate Change Initiative (OC-CCI) creates consistent long-term ocean datasets by merging data from SeaWiFS, MODIS, MERIS, and VIIRS. They applied QAA-based band-shifting to align wavelengths across different sensors, corrected sensor biases over time, and used fuzzy logic water classification to compute per-pixel uncertainty values based on real field measurements.</w:t>
      </w:r>
    </w:p>
    <w:p>
      <w:pPr>
        <w:spacing w:before="0" w:after="44" w:line="247" w:lineRule="auto"/>
        <w:jc w:val="both"/>
      </w:pPr>
      <w:r>
        <w:rPr>
          <w:rFonts w:ascii="Times New Roman" w:hAnsi="Times New Roman"/>
          <w:b w:val="0"/>
          <w:i w:val="0"/>
          <w:color w:val="000000"/>
          <w:sz w:val="20"/>
        </w:rPr>
        <w:t>Castant et al. [10] constructed a global 4D dataset of Photosynthetically Active Radiation (PAR) and diffuse attenuation (</w:t>
      </w:r>
      <w:r>
        <w:rPr>
          <w:rFonts w:ascii="Times New Roman" w:hAnsi="Times New Roman"/>
          <w:i/>
          <w:color w:val="000000"/>
          <w:sz w:val="20"/>
        </w:rPr>
        <w:t>K</w:t>
      </w:r>
      <w:r>
        <w:rPr>
          <w:rFonts w:ascii="Times New Roman" w:hAnsi="Times New Roman"/>
          <w:i/>
          <w:color w:val="000000"/>
          <w:sz w:val="20"/>
          <w:vertAlign w:val="subscript"/>
        </w:rPr>
        <w:t>d</w:t>
      </w:r>
      <w:r>
        <w:rPr>
          <w:rFonts w:ascii="Times New Roman" w:hAnsi="Times New Roman"/>
          <w:b w:val="0"/>
          <w:i w:val="0"/>
          <w:color w:val="000000"/>
          <w:sz w:val="20"/>
        </w:rPr>
        <w:t>PAR) from 1958 to 2022 at 0.25° resolution. By combining GlobColour satellite data with the Environmental String Model and ERA5 atmospheric reanalysis using DINEOF interpolation, they proved that weather model data can be used to accurately estimate underwater light and euphotic depth (</w:t>
      </w:r>
      <w:r>
        <w:rPr>
          <w:rFonts w:ascii="Times New Roman" w:hAnsi="Times New Roman"/>
          <w:i/>
          <w:color w:val="000000"/>
          <w:sz w:val="20"/>
        </w:rPr>
        <w:t>Z</w:t>
      </w:r>
      <w:r>
        <w:rPr>
          <w:rFonts w:ascii="Times New Roman" w:hAnsi="Times New Roman"/>
          <w:i/>
          <w:color w:val="000000"/>
          <w:sz w:val="20"/>
          <w:vertAlign w:val="subscript"/>
        </w:rPr>
        <w:t>eu</w:t>
      </w:r>
      <w:r>
        <w:rPr>
          <w:rFonts w:ascii="Times New Roman" w:hAnsi="Times New Roman"/>
          <w:b w:val="0"/>
          <w:i w:val="0"/>
          <w:color w:val="000000"/>
          <w:sz w:val="20"/>
        </w:rPr>
        <w:t>) even for historical periods.</w:t>
      </w:r>
    </w:p>
    <w:p>
      <w:pPr>
        <w:spacing w:before="0" w:after="44" w:line="247" w:lineRule="auto"/>
        <w:jc w:val="both"/>
      </w:pPr>
      <w:r>
        <w:rPr>
          <w:rFonts w:ascii="Times New Roman" w:hAnsi="Times New Roman"/>
          <w:b w:val="0"/>
          <w:i w:val="0"/>
          <w:color w:val="000000"/>
          <w:sz w:val="20"/>
        </w:rPr>
        <w:t>Kulk et al. [19] used 20 years of OC-CCI satellite observations to assess global marine primary production. Using photosynthesis-irradiance models calibrated with field ¹⁴C experiment data, they mapped production across various ocean provinces, showing how large-scale climate variations directly influence marine productivity over time.</w:t>
      </w:r>
    </w:p>
    <w:p>
      <w:pPr>
        <w:keepNext/>
        <w:spacing w:before="90" w:after="24"/>
        <w:jc w:val="left"/>
      </w:pPr>
      <w:r>
        <w:rPr>
          <w:rFonts w:ascii="Times New Roman" w:hAnsi="Times New Roman"/>
          <w:b/>
          <w:i/>
          <w:color w:val="000000"/>
          <w:sz w:val="20"/>
        </w:rPr>
        <w:t>D. Statistical Trend Detection and Climate Time of Emergence</w:t>
      </w:r>
    </w:p>
    <w:p>
      <w:pPr>
        <w:spacing w:before="0" w:after="44" w:line="247" w:lineRule="auto"/>
        <w:jc w:val="both"/>
      </w:pPr>
      <w:r>
        <w:rPr>
          <w:rFonts w:ascii="Times New Roman" w:hAnsi="Times New Roman"/>
          <w:b w:val="0"/>
          <w:i w:val="0"/>
          <w:color w:val="000000"/>
          <w:sz w:val="20"/>
        </w:rPr>
        <w:t>Hammond et al. [8] developed a spatio-temporal Bayesian model to analyze regional chlorophyll trends and uncertainties using 20 years of OC-CCI satellite data. Using CMIP5 climate models as Bayesian priors and accounting for spatial distance and AR(1) temporal autocorrelation, they found that while the global average trend was near zero (0.08 ± 0.35% per year), 18 out of 23 ocean regions showed significant regional trends (±1.8% per year), proving that global averages hide important local changes.</w:t>
      </w:r>
    </w:p>
    <w:p>
      <w:pPr>
        <w:keepNext/>
        <w:spacing w:before="90" w:after="24"/>
        <w:jc w:val="left"/>
      </w:pPr>
      <w:r>
        <w:rPr>
          <w:rFonts w:ascii="Times New Roman" w:hAnsi="Times New Roman"/>
          <w:b/>
          <w:i/>
          <w:color w:val="000000"/>
          <w:sz w:val="20"/>
        </w:rPr>
        <w:t>E. Synthesis of Literature and Identification of Research Gaps</w:t>
      </w:r>
    </w:p>
    <w:p>
      <w:pPr>
        <w:spacing w:before="0" w:after="120" w:line="247" w:lineRule="auto"/>
        <w:jc w:val="both"/>
      </w:pPr>
      <w:r>
        <w:rPr>
          <w:rFonts w:ascii="Times New Roman" w:hAnsi="Times New Roman"/>
          <w:b w:val="0"/>
          <w:i w:val="0"/>
          <w:color w:val="000000"/>
          <w:sz w:val="20"/>
        </w:rPr>
        <w:t>Reviewing these twenty foundational studies reveals four main technical gaps in existing satellite ocean color workflows:</w:t>
      </w:r>
    </w:p>
    <w:p>
      <w:pPr>
        <w:sectPr>
          <w:type w:val="continuous"/>
          <w:pgSz w:w="11906" w:h="16838"/>
          <w:pgMar w:top="1080" w:right="806" w:bottom="1440" w:left="806" w:header="720" w:footer="720" w:gutter="0"/>
          <w:cols w:space="316" w:num="2"/>
          <w:docGrid w:linePitch="360"/>
        </w:sectPr>
      </w:pPr>
    </w:p>
    <w:p>
      <w:pPr>
        <w:keepNext/>
        <w:spacing w:before="220" w:after="80"/>
        <w:jc w:val="center"/>
      </w:pPr>
      <w:r>
        <w:rPr>
          <w:rFonts w:ascii="Times New Roman" w:hAnsi="Times New Roman"/>
          <w:b/>
          <w:color w:val="000000"/>
          <w:sz w:val="18"/>
        </w:rPr>
        <w:t>TABLE I : THEMATIC LITERATURE FOUNDATION</w:t>
      </w:r>
    </w:p>
    <w:tbl>
      <w:tblPr>
        <w:tblW w:type="auto" w:w="0"/>
        <w:jc w:val="center"/>
        <w:tblLook w:firstColumn="1" w:firstRow="1" w:lastColumn="0" w:lastRow="0" w:noHBand="0" w:noVBand="1" w:val="04A0"/>
      </w:tblPr>
      <w:tblGrid>
        <w:gridCol w:w="3431"/>
        <w:gridCol w:w="3431"/>
        <w:gridCol w:w="3431"/>
      </w:tblGrid>
      <w:tr>
        <w:trPr>
          <w:cantSplit/>
        </w:trPr>
        <w:tc>
          <w:tcPr>
            <w:tcW w:type="dxa" w:w="2592"/>
            <w:tcBorders>
              <w:top w:val="single" w:sz="12" w:space="0" w:color="000000"/>
              <w:bottom w:val="single" w:sz="6" w:space="0" w:color="000000"/>
            </w:tcBorders>
            <w:tcMar>
              <w:top w:w="50" w:type="dxa"/>
              <w:bottom w:w="50" w:type="dxa"/>
              <w:left w:w="50" w:type="dxa"/>
              <w:right w:w="50" w:type="dxa"/>
            </w:tcMar>
          </w:tcPr>
          <w:p>
            <w:pPr>
              <w:keepNext/>
              <w:spacing w:before="40" w:after="40" w:line="252" w:lineRule="auto"/>
              <w:jc w:val="center"/>
            </w:pPr>
            <w:r>
              <w:rPr>
                <w:rFonts w:ascii="Times New Roman" w:hAnsi="Times New Roman"/>
                <w:b/>
                <w:color w:val="000000"/>
                <w:sz w:val="18"/>
              </w:rPr>
              <w:t>Thematic Pillar</w:t>
            </w:r>
          </w:p>
        </w:tc>
        <w:tc>
          <w:tcPr>
            <w:tcW w:type="dxa" w:w="3096"/>
            <w:tcBorders>
              <w:top w:val="single" w:sz="12" w:space="0" w:color="000000"/>
              <w:bottom w:val="single" w:sz="6" w:space="0" w:color="000000"/>
            </w:tcBorders>
            <w:tcMar>
              <w:top w:w="50" w:type="dxa"/>
              <w:bottom w:w="50" w:type="dxa"/>
              <w:left w:w="50" w:type="dxa"/>
              <w:right w:w="50" w:type="dxa"/>
            </w:tcMar>
          </w:tcPr>
          <w:p>
            <w:pPr>
              <w:keepNext/>
              <w:spacing w:before="40" w:after="40" w:line="252" w:lineRule="auto"/>
              <w:jc w:val="center"/>
            </w:pPr>
            <w:r>
              <w:rPr>
                <w:rFonts w:ascii="Times New Roman" w:hAnsi="Times New Roman"/>
                <w:b/>
                <w:color w:val="000000"/>
                <w:sz w:val="18"/>
              </w:rPr>
              <w:t>Key Citations</w:t>
            </w:r>
          </w:p>
        </w:tc>
        <w:tc>
          <w:tcPr>
            <w:tcW w:type="dxa" w:w="4608"/>
            <w:tcBorders>
              <w:top w:val="single" w:sz="12" w:space="0" w:color="000000"/>
              <w:bottom w:val="single" w:sz="6" w:space="0" w:color="000000"/>
            </w:tcBorders>
            <w:tcMar>
              <w:top w:w="50" w:type="dxa"/>
              <w:bottom w:w="50" w:type="dxa"/>
              <w:left w:w="50" w:type="dxa"/>
              <w:right w:w="50" w:type="dxa"/>
            </w:tcMar>
          </w:tcPr>
          <w:p>
            <w:pPr>
              <w:keepNext/>
              <w:spacing w:before="40" w:after="40" w:line="252" w:lineRule="auto"/>
              <w:jc w:val="center"/>
            </w:pPr>
            <w:r>
              <w:rPr>
                <w:rFonts w:ascii="Times New Roman" w:hAnsi="Times New Roman"/>
                <w:b/>
                <w:color w:val="000000"/>
                <w:sz w:val="18"/>
              </w:rPr>
              <w:t>Focal Contribution to Pipeline</w:t>
            </w:r>
          </w:p>
        </w:tc>
      </w:tr>
      <w:tr>
        <w:trPr>
          <w:cantSplit/>
        </w:trPr>
        <w:tc>
          <w:tcPr>
            <w:tcW w:type="dxa" w:w="2592"/>
            <w:tcBorders>
              <w:bottom w:val="single" w:sz="4" w:space="0" w:color="D3D3D3"/>
            </w:tcBorders>
            <w:tcMar>
              <w:top w:w="40" w:type="dxa"/>
              <w:bottom w:w="40" w:type="dxa"/>
              <w:left w:w="50" w:type="dxa"/>
              <w:right w:w="50" w:type="dxa"/>
            </w:tcMar>
          </w:tcPr>
          <w:p>
            <w:pPr>
              <w:keepNext/>
              <w:spacing w:before="30" w:after="30" w:line="247" w:lineRule="auto"/>
              <w:jc w:val="center"/>
            </w:pPr>
            <w:r>
              <w:rPr>
                <w:rFonts w:ascii="Times New Roman" w:hAnsi="Times New Roman"/>
                <w:b/>
                <w:color w:val="000000"/>
                <w:sz w:val="18"/>
              </w:rPr>
              <w:t>A. Arabian Sea Bloom Dynamics &amp; Drivers</w:t>
            </w:r>
          </w:p>
        </w:tc>
        <w:tc>
          <w:tcPr>
            <w:tcW w:type="dxa" w:w="3096"/>
            <w:tcBorders>
              <w:bottom w:val="single" w:sz="4" w:space="0" w:color="D3D3D3"/>
            </w:tcBorders>
            <w:tcMar>
              <w:top w:w="40" w:type="dxa"/>
              <w:bottom w:w="40" w:type="dxa"/>
              <w:left w:w="50" w:type="dxa"/>
              <w:right w:w="50" w:type="dxa"/>
            </w:tcMar>
          </w:tcPr>
          <w:p>
            <w:pPr>
              <w:keepNext/>
              <w:spacing w:before="30" w:after="30" w:line="247" w:lineRule="auto"/>
              <w:jc w:val="left"/>
            </w:pPr>
            <w:r>
              <w:rPr>
                <w:rFonts w:ascii="Times New Roman" w:hAnsi="Times New Roman"/>
                <w:b w:val="0"/>
                <w:color w:val="000000"/>
                <w:sz w:val="18"/>
              </w:rPr>
              <w:t>Pandi et al. [1], Shi &amp; Wang [2], Kuttippurath et al. [3], Goes et al. [11], Lakshmi et al. [12], Asha Devi et al. [13], Raj et al. [14], Xiang et al. [15], Sarma et al. [16], Kuttippurath et al. [18]</w:t>
            </w:r>
          </w:p>
        </w:tc>
        <w:tc>
          <w:tcPr>
            <w:tcW w:type="dxa" w:w="4608"/>
            <w:tcBorders>
              <w:bottom w:val="single" w:sz="4" w:space="0" w:color="D3D3D3"/>
            </w:tcBorders>
            <w:tcMar>
              <w:top w:w="40" w:type="dxa"/>
              <w:bottom w:w="40" w:type="dxa"/>
              <w:left w:w="50" w:type="dxa"/>
              <w:right w:w="50" w:type="dxa"/>
            </w:tcMar>
          </w:tcPr>
          <w:p>
            <w:pPr>
              <w:keepNext/>
              <w:spacing w:before="30" w:after="30" w:line="247" w:lineRule="auto"/>
              <w:jc w:val="left"/>
            </w:pPr>
            <w:r>
              <w:rPr>
                <w:rFonts w:ascii="Times New Roman" w:hAnsi="Times New Roman"/>
                <w:b w:val="0"/>
                <w:color w:val="000000"/>
                <w:sz w:val="18"/>
              </w:rPr>
              <w:t>Quantifies NRR band ratios, MLD deepening (70–80 m), vertical velocities (~1 m/day), Sverdrup critical depth shoaling, trophic disruption, hypoxia (&lt;1.5 mg/L), and dust/storm fertilization.</w:t>
            </w:r>
          </w:p>
        </w:tc>
      </w:tr>
      <w:tr>
        <w:trPr>
          <w:cantSplit/>
        </w:trPr>
        <w:tc>
          <w:tcPr>
            <w:tcW w:type="dxa" w:w="2592"/>
            <w:tcBorders>
              <w:bottom w:val="single" w:sz="4" w:space="0" w:color="D3D3D3"/>
            </w:tcBorders>
            <w:tcMar>
              <w:top w:w="40" w:type="dxa"/>
              <w:bottom w:w="40" w:type="dxa"/>
              <w:left w:w="50" w:type="dxa"/>
              <w:right w:w="50" w:type="dxa"/>
            </w:tcMar>
          </w:tcPr>
          <w:p>
            <w:pPr>
              <w:keepNext/>
              <w:spacing w:before="30" w:after="30" w:line="247" w:lineRule="auto"/>
              <w:jc w:val="center"/>
            </w:pPr>
            <w:r>
              <w:rPr>
                <w:rFonts w:ascii="Times New Roman" w:hAnsi="Times New Roman"/>
                <w:b/>
                <w:color w:val="000000"/>
                <w:sz w:val="18"/>
              </w:rPr>
              <w:t>B. Bio-Optical Inversion &amp; Discrimination</w:t>
            </w:r>
          </w:p>
        </w:tc>
        <w:tc>
          <w:tcPr>
            <w:tcW w:type="dxa" w:w="3096"/>
            <w:tcBorders>
              <w:bottom w:val="single" w:sz="4" w:space="0" w:color="D3D3D3"/>
            </w:tcBorders>
            <w:tcMar>
              <w:top w:w="40" w:type="dxa"/>
              <w:bottom w:w="40" w:type="dxa"/>
              <w:left w:w="50" w:type="dxa"/>
              <w:right w:w="50" w:type="dxa"/>
            </w:tcMar>
          </w:tcPr>
          <w:p>
            <w:pPr>
              <w:keepNext/>
              <w:spacing w:before="30" w:after="30" w:line="247" w:lineRule="auto"/>
              <w:jc w:val="left"/>
            </w:pPr>
            <w:r>
              <w:rPr>
                <w:rFonts w:ascii="Times New Roman" w:hAnsi="Times New Roman"/>
                <w:b w:val="0"/>
                <w:color w:val="000000"/>
                <w:sz w:val="18"/>
              </w:rPr>
              <w:t>Cael et al. [5], Dutkiewicz et al. [6], Bisson et al. [9], Loisel et al. [20], Baliarsingh et al. [17]</w:t>
            </w:r>
          </w:p>
        </w:tc>
        <w:tc>
          <w:tcPr>
            <w:tcW w:type="dxa" w:w="4608"/>
            <w:tcBorders>
              <w:bottom w:val="single" w:sz="4" w:space="0" w:color="D3D3D3"/>
            </w:tcBorders>
            <w:tcMar>
              <w:top w:w="40" w:type="dxa"/>
              <w:bottom w:w="40" w:type="dxa"/>
              <w:left w:w="50" w:type="dxa"/>
              <w:right w:w="50" w:type="dxa"/>
            </w:tcMar>
          </w:tcPr>
          <w:p>
            <w:pPr>
              <w:keepNext/>
              <w:spacing w:before="30" w:after="30" w:line="247" w:lineRule="auto"/>
              <w:jc w:val="left"/>
            </w:pPr>
            <w:r>
              <w:rPr>
                <w:rFonts w:ascii="Times New Roman" w:hAnsi="Times New Roman"/>
                <w:b w:val="0"/>
                <w:color w:val="000000"/>
                <w:sz w:val="18"/>
              </w:rPr>
              <w:t>Provides multivariate remote sensing reflectance framework, dynamic γ calculation in QAA, LS2 semi-analytical inversion (R² &gt; 0.96), and optical discrimination of green Noctiluca via 531 nm reflectance peak.</w:t>
            </w:r>
          </w:p>
        </w:tc>
      </w:tr>
      <w:tr>
        <w:trPr>
          <w:cantSplit/>
        </w:trPr>
        <w:tc>
          <w:tcPr>
            <w:tcW w:type="dxa" w:w="2592"/>
            <w:tcBorders>
              <w:bottom w:val="single" w:sz="4" w:space="0" w:color="D3D3D3"/>
            </w:tcBorders>
            <w:tcMar>
              <w:top w:w="40" w:type="dxa"/>
              <w:bottom w:w="40" w:type="dxa"/>
              <w:left w:w="50" w:type="dxa"/>
              <w:right w:w="50" w:type="dxa"/>
            </w:tcMar>
          </w:tcPr>
          <w:p>
            <w:pPr>
              <w:keepNext/>
              <w:spacing w:before="30" w:after="30" w:line="247" w:lineRule="auto"/>
              <w:jc w:val="center"/>
            </w:pPr>
            <w:r>
              <w:rPr>
                <w:rFonts w:ascii="Times New Roman" w:hAnsi="Times New Roman"/>
                <w:b/>
                <w:color w:val="000000"/>
                <w:sz w:val="18"/>
              </w:rPr>
              <w:t>C. Radiometric Correction &amp; Datasets</w:t>
            </w:r>
          </w:p>
        </w:tc>
        <w:tc>
          <w:tcPr>
            <w:tcW w:type="dxa" w:w="3096"/>
            <w:tcBorders>
              <w:bottom w:val="single" w:sz="4" w:space="0" w:color="D3D3D3"/>
            </w:tcBorders>
            <w:tcMar>
              <w:top w:w="40" w:type="dxa"/>
              <w:bottom w:w="40" w:type="dxa"/>
              <w:left w:w="50" w:type="dxa"/>
              <w:right w:w="50" w:type="dxa"/>
            </w:tcMar>
          </w:tcPr>
          <w:p>
            <w:pPr>
              <w:keepNext/>
              <w:spacing w:before="30" w:after="30" w:line="247" w:lineRule="auto"/>
              <w:jc w:val="left"/>
            </w:pPr>
            <w:r>
              <w:rPr>
                <w:rFonts w:ascii="Times New Roman" w:hAnsi="Times New Roman"/>
                <w:b w:val="0"/>
                <w:color w:val="000000"/>
                <w:sz w:val="18"/>
              </w:rPr>
              <w:t>Li et al. [4], Sathyendranath et al. [7], Castant et al. [10], Kulk et al. [19]</w:t>
            </w:r>
          </w:p>
        </w:tc>
        <w:tc>
          <w:tcPr>
            <w:tcW w:type="dxa" w:w="4608"/>
            <w:tcBorders>
              <w:bottom w:val="single" w:sz="4" w:space="0" w:color="D3D3D3"/>
            </w:tcBorders>
            <w:tcMar>
              <w:top w:w="40" w:type="dxa"/>
              <w:bottom w:w="40" w:type="dxa"/>
              <w:left w:w="50" w:type="dxa"/>
              <w:right w:w="50" w:type="dxa"/>
            </w:tcMar>
          </w:tcPr>
          <w:p>
            <w:pPr>
              <w:keepNext/>
              <w:spacing w:before="30" w:after="30" w:line="247" w:lineRule="auto"/>
              <w:jc w:val="left"/>
            </w:pPr>
            <w:r>
              <w:rPr>
                <w:rFonts w:ascii="Times New Roman" w:hAnsi="Times New Roman"/>
                <w:b w:val="0"/>
                <w:color w:val="000000"/>
                <w:sz w:val="18"/>
              </w:rPr>
              <w:t>Formulates NN-V neural atmospheric correction under high solar zenith angles (SZA &gt; 70°), OC-CCI cross-sensor band-shifting, and 4D PAR/euphotic depth reanalysis interpolation.</w:t>
            </w:r>
          </w:p>
        </w:tc>
      </w:tr>
      <w:tr>
        <w:trPr>
          <w:cantSplit/>
        </w:trPr>
        <w:tc>
          <w:tcPr>
            <w:tcW w:type="dxa" w:w="2592"/>
            <w:tcBorders>
              <w:bottom w:val="single" w:sz="12" w:space="0" w:color="000000"/>
            </w:tcBorders>
            <w:tcMar>
              <w:top w:w="40" w:type="dxa"/>
              <w:bottom w:w="40" w:type="dxa"/>
              <w:left w:w="50" w:type="dxa"/>
              <w:right w:w="50" w:type="dxa"/>
            </w:tcMar>
          </w:tcPr>
          <w:p>
            <w:pPr>
              <w:spacing w:before="30" w:after="30" w:line="247" w:lineRule="auto"/>
              <w:jc w:val="center"/>
            </w:pPr>
            <w:r>
              <w:rPr>
                <w:rFonts w:ascii="Times New Roman" w:hAnsi="Times New Roman"/>
                <w:b/>
                <w:color w:val="000000"/>
                <w:sz w:val="18"/>
              </w:rPr>
              <w:t>D. Statistical Trend Modeling</w:t>
            </w:r>
          </w:p>
        </w:tc>
        <w:tc>
          <w:tcPr>
            <w:tcW w:type="dxa" w:w="3096"/>
            <w:tcBorders>
              <w:bottom w:val="single" w:sz="12" w:space="0" w:color="000000"/>
            </w:tcBorders>
            <w:tcMar>
              <w:top w:w="40" w:type="dxa"/>
              <w:bottom w:w="40" w:type="dxa"/>
              <w:left w:w="50" w:type="dxa"/>
              <w:right w:w="50" w:type="dxa"/>
            </w:tcMar>
          </w:tcPr>
          <w:p>
            <w:pPr>
              <w:spacing w:before="30" w:after="30" w:line="247" w:lineRule="auto"/>
              <w:jc w:val="left"/>
            </w:pPr>
            <w:r>
              <w:rPr>
                <w:rFonts w:ascii="Times New Roman" w:hAnsi="Times New Roman"/>
                <w:b w:val="0"/>
                <w:color w:val="000000"/>
                <w:sz w:val="18"/>
              </w:rPr>
              <w:t>Hammond et al. [8], Cael et al. [5], Dutkiewicz et al. [6]</w:t>
            </w:r>
          </w:p>
        </w:tc>
        <w:tc>
          <w:tcPr>
            <w:tcW w:type="dxa" w:w="4608"/>
            <w:tcBorders>
              <w:bottom w:val="single" w:sz="12" w:space="0" w:color="000000"/>
            </w:tcBorders>
            <w:tcMar>
              <w:top w:w="40" w:type="dxa"/>
              <w:bottom w:w="40" w:type="dxa"/>
              <w:left w:w="50" w:type="dxa"/>
              <w:right w:w="50" w:type="dxa"/>
            </w:tcMar>
          </w:tcPr>
          <w:p>
            <w:pPr>
              <w:spacing w:before="30" w:after="30" w:line="247" w:lineRule="auto"/>
              <w:jc w:val="left"/>
            </w:pPr>
            <w:r>
              <w:rPr>
                <w:rFonts w:ascii="Times New Roman" w:hAnsi="Times New Roman"/>
                <w:b w:val="0"/>
                <w:color w:val="000000"/>
                <w:sz w:val="18"/>
              </w:rPr>
              <w:t>Deploys Cochrane-Orcutt AR(1) autoregression, GLS covariance modeling, and multivariate SNR ≥ 2.0 criteria to isolate secular climate signals from red noise decades ahead of scalar chlorophyll.</w:t>
            </w:r>
          </w:p>
        </w:tc>
      </w:tr>
    </w:tbl>
    <w:p>
      <w:pPr>
        <w:spacing w:before="40" w:after="120"/>
      </w:pPr>
      <w:r>
        <w:rPr>
          <w:rFonts w:ascii="Times New Roman" w:hAnsi="Times New Roman"/>
          <w:color w:val="000000"/>
          <w:sz w:val="6"/>
        </w:rPr>
      </w:r>
    </w:p>
    <w:p>
      <w:pPr>
        <w:sectPr>
          <w:type w:val="continuous"/>
          <w:pgSz w:w="11906" w:h="16838"/>
          <w:pgMar w:top="1080" w:right="806" w:bottom="1440" w:left="806" w:header="720" w:footer="720" w:gutter="0"/>
          <w:cols w:space="316" w:num="1"/>
          <w:docGrid w:linePitch="360"/>
        </w:sectPr>
      </w:pPr>
    </w:p>
    <w:p>
      <w:pPr>
        <w:spacing w:before="120" w:after="44" w:line="247" w:lineRule="auto"/>
        <w:jc w:val="both"/>
      </w:pPr>
      <w:r>
        <w:rPr>
          <w:rFonts w:ascii="Times New Roman" w:hAnsi="Times New Roman"/>
          <w:b/>
          <w:i w:val="0"/>
          <w:color w:val="000000"/>
          <w:sz w:val="20"/>
        </w:rPr>
        <w:t xml:space="preserve">1. Bio-Optical Spectral Misidentification: </w:t>
      </w:r>
      <w:r>
        <w:rPr>
          <w:rFonts w:ascii="Times New Roman" w:hAnsi="Times New Roman"/>
          <w:b w:val="0"/>
          <w:i w:val="0"/>
          <w:color w:val="000000"/>
          <w:sz w:val="20"/>
        </w:rPr>
        <w:t>Standard operational algorithms [2], [7] rely on simple blue-green ratios that cannot distinguish mixotrophic dinoflagellates from regular diatoms, causing false-positive biomass detections during bloom events [1], [17].</w:t>
      </w:r>
    </w:p>
    <w:p>
      <w:pPr>
        <w:spacing w:before="0" w:after="44" w:line="247" w:lineRule="auto"/>
        <w:jc w:val="both"/>
      </w:pPr>
      <w:r>
        <w:rPr>
          <w:rFonts w:ascii="Times New Roman" w:hAnsi="Times New Roman"/>
          <w:b/>
          <w:i w:val="0"/>
          <w:color w:val="000000"/>
          <w:sz w:val="20"/>
        </w:rPr>
        <w:t xml:space="preserve">2. Surface Optical and Hydrodynamic Decoupling: </w:t>
      </w:r>
      <w:r>
        <w:rPr>
          <w:rFonts w:ascii="Times New Roman" w:hAnsi="Times New Roman"/>
          <w:b w:val="0"/>
          <w:i w:val="0"/>
          <w:color w:val="000000"/>
          <w:sz w:val="20"/>
        </w:rPr>
        <w:t>Most satellite studies [1], [5], [17] treat imagery as flat 2D surface layers, without connecting surface features to vertical mixing velocities, mixed-layer deepening, and thermocline shoaling available from ocean reanalysis models [2], [10], [12].</w:t>
      </w:r>
    </w:p>
    <w:p>
      <w:pPr>
        <w:spacing w:before="0" w:after="44" w:line="247" w:lineRule="auto"/>
        <w:jc w:val="both"/>
      </w:pPr>
      <w:r>
        <w:rPr>
          <w:rFonts w:ascii="Times New Roman" w:hAnsi="Times New Roman"/>
          <w:b/>
          <w:i w:val="0"/>
          <w:color w:val="000000"/>
          <w:sz w:val="20"/>
        </w:rPr>
        <w:t xml:space="preserve">3. High Data Loss in Winter: </w:t>
      </w:r>
      <w:r>
        <w:rPr>
          <w:rFonts w:ascii="Times New Roman" w:hAnsi="Times New Roman"/>
          <w:b w:val="0"/>
          <w:i w:val="0"/>
          <w:color w:val="000000"/>
          <w:sz w:val="20"/>
        </w:rPr>
        <w:t>Winter bloom monitoring in the northern basin loses substantial data when solar zenith angles exceed 70°, as standard atmospheric correction algorithms fail under long atmospheric paths and dust loads, discarding nearly half of the images [3], [4].</w:t>
      </w:r>
    </w:p>
    <w:p>
      <w:pPr>
        <w:spacing w:before="0" w:after="44" w:line="247" w:lineRule="auto"/>
        <w:jc w:val="both"/>
      </w:pPr>
      <w:r>
        <w:rPr>
          <w:rFonts w:ascii="Times New Roman" w:hAnsi="Times New Roman"/>
          <w:b/>
          <w:i w:val="0"/>
          <w:color w:val="000000"/>
          <w:sz w:val="20"/>
        </w:rPr>
        <w:t xml:space="preserve">4. Statistical Masking from Univariate Autocorrelation: </w:t>
      </w:r>
      <w:r>
        <w:rPr>
          <w:rFonts w:ascii="Times New Roman" w:hAnsi="Times New Roman"/>
          <w:b w:val="0"/>
          <w:i w:val="0"/>
          <w:color w:val="000000"/>
          <w:sz w:val="20"/>
        </w:rPr>
        <w:t>Long-term trend analyses [3], [8] often rely on scalar chlorophyll-</w:t>
      </w:r>
      <w:r>
        <w:rPr>
          <w:rFonts w:ascii="Times New Roman" w:hAnsi="Times New Roman"/>
          <w:i/>
          <w:color w:val="000000"/>
          <w:sz w:val="20"/>
        </w:rPr>
        <w:t>a</w:t>
      </w:r>
      <w:r>
        <w:rPr>
          <w:rFonts w:ascii="Times New Roman" w:hAnsi="Times New Roman"/>
          <w:b w:val="0"/>
          <w:i w:val="0"/>
          <w:color w:val="000000"/>
          <w:sz w:val="20"/>
        </w:rPr>
        <w:t xml:space="preserve"> time series, where natural year-to-year swings and red-noise autocorrelation hide genuine climate trends that multi-band reflectance can reveal decades earlier [5], [6].</w:t>
      </w:r>
    </w:p>
    <w:p>
      <w:pPr>
        <w:keepNext/>
        <w:spacing w:before="120" w:after="40"/>
        <w:jc w:val="center"/>
      </w:pPr>
      <w:r>
        <w:rPr>
          <w:rFonts w:ascii="Times New Roman" w:hAnsi="Times New Roman"/>
          <w:b/>
          <w:color w:val="000000"/>
          <w:sz w:val="20"/>
        </w:rPr>
        <w:t>III. PROPOSED METHODOLOGY</w:t>
      </w:r>
    </w:p>
    <w:p>
      <w:pPr>
        <w:spacing w:before="0" w:after="44" w:line="247" w:lineRule="auto"/>
        <w:jc w:val="both"/>
      </w:pPr>
      <w:r>
        <w:rPr>
          <w:rFonts w:ascii="Times New Roman" w:hAnsi="Times New Roman"/>
          <w:b w:val="0"/>
          <w:i w:val="0"/>
          <w:color w:val="000000"/>
          <w:sz w:val="20"/>
        </w:rPr>
        <w:t>Our proposed computational methodology combines satellite image processing, radiative transfer inversion, neural network atmospheric correction, and multivariate time-series statistics into a complete pipeline. The workflow consists of four sequential stages, as shown in Fig. 1.</w:t>
      </w:r>
    </w:p>
    <w:p>
      <w:pPr>
        <w:keepNext/>
        <w:spacing w:before="90" w:after="24"/>
        <w:jc w:val="left"/>
      </w:pPr>
      <w:r>
        <w:rPr>
          <w:rFonts w:ascii="Times New Roman" w:hAnsi="Times New Roman"/>
          <w:b/>
          <w:i/>
          <w:color w:val="000000"/>
          <w:sz w:val="20"/>
        </w:rPr>
        <w:t>A. Stage 1: Data Ingestion and Spatial Grid Harmonization</w:t>
      </w:r>
    </w:p>
    <w:p>
      <w:pPr>
        <w:spacing w:before="0" w:after="44" w:line="247" w:lineRule="auto"/>
        <w:jc w:val="both"/>
      </w:pPr>
      <w:r>
        <w:rPr>
          <w:rFonts w:ascii="Times New Roman" w:hAnsi="Times New Roman"/>
          <w:b w:val="0"/>
          <w:i w:val="0"/>
          <w:color w:val="000000"/>
          <w:sz w:val="20"/>
        </w:rPr>
        <w:t>The study area covers the northern Arabian Sea between 10°N and 25°N latitude and 50°E and 75°E longitude [1]. Top-of-atmosphere and surface radiances are downloaded from Level-2 archives of MODIS-Aqua, VIIRS (SNPP and NOAA-20), and Sentinel-3 OLCI [4], [7]. At the same time, daily physical oceanographic and meteorological variables are obtained from the Copernicus Marine Service (CMEMS GLOBAL_MULTIYEAR_PHY_001_030) and ECMWF ERA5 reanalyses at 0.25° resolution. These include sea surface temperature (SST), mixed-layer depth (MLD), vertical velocity (w at 70 m depth), wind stress, and surface photosynthetically active radiation (PAR) [2], [10].</w:t>
      </w:r>
    </w:p>
    <w:p>
      <w:pPr>
        <w:spacing w:before="0" w:after="44" w:line="247" w:lineRule="auto"/>
        <w:jc w:val="both"/>
      </w:pPr>
      <w:r>
        <w:rPr>
          <w:rFonts w:ascii="Times New Roman" w:hAnsi="Times New Roman"/>
          <w:b w:val="0"/>
          <w:i w:val="0"/>
          <w:color w:val="000000"/>
          <w:sz w:val="20"/>
        </w:rPr>
        <w:t>Data harmonization across different satellites and models is implemented in Python using libraries such as xarray, numpy, and netCDF4. Orbital swaths are reprojected onto a standardized 4 km × 4 km sinusoidal equal-area grid using bilinear interpolation [7]. Quality flags are checked to remove cloudy and corrupted pixels, including land masking (LAND), cloud and ice flags (CLDICE), high solar zenith angles (HISOLZEN), stray light (STRAYLIGHT), and atmospheric correction failures (ATMFAIL) [4], [9].</w:t>
      </w:r>
    </w:p>
    <w:p>
      <w:pPr>
        <w:keepNext/>
        <w:spacing w:before="90" w:after="24"/>
        <w:jc w:val="left"/>
      </w:pPr>
      <w:r>
        <w:rPr>
          <w:rFonts w:ascii="Times New Roman" w:hAnsi="Times New Roman"/>
          <w:b/>
          <w:i/>
          <w:color w:val="000000"/>
          <w:sz w:val="20"/>
        </w:rPr>
        <w:t>B. Stage 2: Radiometric Preprocessing and High-SZA Correction</w:t>
      </w:r>
    </w:p>
    <w:p>
      <w:pPr>
        <w:spacing w:before="0" w:after="44" w:line="247" w:lineRule="auto"/>
        <w:jc w:val="both"/>
      </w:pPr>
      <w:r>
        <w:rPr>
          <w:rFonts w:ascii="Times New Roman" w:hAnsi="Times New Roman"/>
          <w:b w:val="0"/>
          <w:i w:val="0"/>
          <w:color w:val="000000"/>
          <w:sz w:val="20"/>
        </w:rPr>
        <w:t>During winter in the northern Arabian Sea, low sun angles frequently result in solar zenith angles greater than 70°, causing standard atmospheric correction methods to fail. Following the approach of Li et al. [4], we implement a Multilayer Perceptron neural network (NN-V) to process top-of-atmosphere Rayleigh-corrected radiances (</w:t>
      </w:r>
      <w:r>
        <w:rPr>
          <w:rFonts w:ascii="Times New Roman" w:hAnsi="Times New Roman"/>
          <w:i/>
          <w:color w:val="000000"/>
          <w:sz w:val="20"/>
        </w:rPr>
        <w:t>L</w:t>
      </w:r>
      <w:r>
        <w:rPr>
          <w:rFonts w:ascii="Times New Roman" w:hAnsi="Times New Roman"/>
          <w:i w:val="0"/>
          <w:color w:val="000000"/>
          <w:sz w:val="20"/>
          <w:vertAlign w:val="subscript"/>
        </w:rPr>
        <w:t>rc</w:t>
      </w:r>
      <w:r>
        <w:rPr>
          <w:rFonts w:ascii="Times New Roman" w:hAnsi="Times New Roman"/>
          <w:i w:val="0"/>
          <w:color w:val="000000"/>
          <w:sz w:val="20"/>
        </w:rPr>
        <w:t>(</w:t>
      </w:r>
      <w:r>
        <w:rPr>
          <w:rFonts w:ascii="Times New Roman" w:hAnsi="Times New Roman"/>
          <w:i/>
          <w:color w:val="000000"/>
          <w:sz w:val="20"/>
        </w:rPr>
        <w:t>λ</w:t>
      </w:r>
      <w:r>
        <w:rPr>
          <w:rFonts w:ascii="Times New Roman" w:hAnsi="Times New Roman"/>
          <w:b w:val="0"/>
          <w:i w:val="0"/>
          <w:color w:val="000000"/>
          <w:sz w:val="20"/>
        </w:rPr>
        <w:t>)). The network input features include five visible bands (</w:t>
      </w:r>
      <w:r>
        <w:rPr>
          <w:rFonts w:ascii="Times New Roman" w:hAnsi="Times New Roman"/>
          <w:i/>
          <w:color w:val="000000"/>
          <w:sz w:val="20"/>
        </w:rPr>
        <w:t>L</w:t>
      </w:r>
      <w:r>
        <w:rPr>
          <w:rFonts w:ascii="Times New Roman" w:hAnsi="Times New Roman"/>
          <w:i w:val="0"/>
          <w:color w:val="000000"/>
          <w:sz w:val="20"/>
          <w:vertAlign w:val="subscript"/>
        </w:rPr>
        <w:t>rc</w:t>
      </w:r>
      <w:r>
        <w:rPr>
          <w:rFonts w:ascii="Times New Roman" w:hAnsi="Times New Roman"/>
          <w:b w:val="0"/>
          <w:i w:val="0"/>
          <w:color w:val="000000"/>
          <w:sz w:val="20"/>
        </w:rPr>
        <w:t xml:space="preserve">(412), </w:t>
      </w:r>
      <w:r>
        <w:rPr>
          <w:rFonts w:ascii="Times New Roman" w:hAnsi="Times New Roman"/>
          <w:i/>
          <w:color w:val="000000"/>
          <w:sz w:val="20"/>
        </w:rPr>
        <w:t>L</w:t>
      </w:r>
      <w:r>
        <w:rPr>
          <w:rFonts w:ascii="Times New Roman" w:hAnsi="Times New Roman"/>
          <w:i w:val="0"/>
          <w:color w:val="000000"/>
          <w:sz w:val="20"/>
          <w:vertAlign w:val="subscript"/>
        </w:rPr>
        <w:t>rc</w:t>
      </w:r>
      <w:r>
        <w:rPr>
          <w:rFonts w:ascii="Times New Roman" w:hAnsi="Times New Roman"/>
          <w:b w:val="0"/>
          <w:i w:val="0"/>
          <w:color w:val="000000"/>
          <w:sz w:val="20"/>
        </w:rPr>
        <w:t xml:space="preserve">(443), </w:t>
      </w:r>
      <w:r>
        <w:rPr>
          <w:rFonts w:ascii="Times New Roman" w:hAnsi="Times New Roman"/>
          <w:i/>
          <w:color w:val="000000"/>
          <w:sz w:val="20"/>
        </w:rPr>
        <w:t>L</w:t>
      </w:r>
      <w:r>
        <w:rPr>
          <w:rFonts w:ascii="Times New Roman" w:hAnsi="Times New Roman"/>
          <w:i w:val="0"/>
          <w:color w:val="000000"/>
          <w:sz w:val="20"/>
          <w:vertAlign w:val="subscript"/>
        </w:rPr>
        <w:t>rc</w:t>
      </w:r>
      <w:r>
        <w:rPr>
          <w:rFonts w:ascii="Times New Roman" w:hAnsi="Times New Roman"/>
          <w:b w:val="0"/>
          <w:i w:val="0"/>
          <w:color w:val="000000"/>
          <w:sz w:val="20"/>
        </w:rPr>
        <w:t xml:space="preserve">(486), </w:t>
      </w:r>
      <w:r>
        <w:rPr>
          <w:rFonts w:ascii="Times New Roman" w:hAnsi="Times New Roman"/>
          <w:i/>
          <w:color w:val="000000"/>
          <w:sz w:val="20"/>
        </w:rPr>
        <w:t>L</w:t>
      </w:r>
      <w:r>
        <w:rPr>
          <w:rFonts w:ascii="Times New Roman" w:hAnsi="Times New Roman"/>
          <w:i w:val="0"/>
          <w:color w:val="000000"/>
          <w:sz w:val="20"/>
          <w:vertAlign w:val="subscript"/>
        </w:rPr>
        <w:t>rc</w:t>
      </w:r>
      <w:r>
        <w:rPr>
          <w:rFonts w:ascii="Times New Roman" w:hAnsi="Times New Roman"/>
          <w:b w:val="0"/>
          <w:i w:val="0"/>
          <w:color w:val="000000"/>
          <w:sz w:val="20"/>
        </w:rPr>
        <w:t xml:space="preserve">(551), </w:t>
      </w:r>
      <w:r>
        <w:rPr>
          <w:rFonts w:ascii="Times New Roman" w:hAnsi="Times New Roman"/>
          <w:i/>
          <w:color w:val="000000"/>
          <w:sz w:val="20"/>
        </w:rPr>
        <w:t>L</w:t>
      </w:r>
      <w:r>
        <w:rPr>
          <w:rFonts w:ascii="Times New Roman" w:hAnsi="Times New Roman"/>
          <w:i w:val="0"/>
          <w:color w:val="000000"/>
          <w:sz w:val="20"/>
          <w:vertAlign w:val="subscript"/>
        </w:rPr>
        <w:t>rc</w:t>
      </w:r>
      <w:r>
        <w:rPr>
          <w:rFonts w:ascii="Times New Roman" w:hAnsi="Times New Roman"/>
          <w:b w:val="0"/>
          <w:i w:val="0"/>
          <w:color w:val="000000"/>
          <w:sz w:val="20"/>
        </w:rPr>
        <w:t>(671)) along with the sun and sensor viewing angles: solar zenith angle (</w:t>
      </w:r>
      <w:r>
        <w:rPr>
          <w:rFonts w:ascii="Times New Roman" w:hAnsi="Times New Roman"/>
          <w:i/>
          <w:color w:val="000000"/>
          <w:sz w:val="20"/>
        </w:rPr>
        <w:t>θ</w:t>
      </w:r>
      <w:r>
        <w:rPr>
          <w:rFonts w:ascii="Times New Roman" w:hAnsi="Times New Roman"/>
          <w:i/>
          <w:color w:val="000000"/>
          <w:sz w:val="20"/>
          <w:vertAlign w:val="subscript"/>
        </w:rPr>
        <w:t>s</w:t>
      </w:r>
      <w:r>
        <w:rPr>
          <w:rFonts w:ascii="Times New Roman" w:hAnsi="Times New Roman"/>
          <w:b w:val="0"/>
          <w:i w:val="0"/>
          <w:color w:val="000000"/>
          <w:sz w:val="20"/>
        </w:rPr>
        <w:t>), satellite viewing zenith angle (</w:t>
      </w:r>
      <w:r>
        <w:rPr>
          <w:rFonts w:ascii="Times New Roman" w:hAnsi="Times New Roman"/>
          <w:i/>
          <w:color w:val="000000"/>
          <w:sz w:val="20"/>
        </w:rPr>
        <w:t>θ</w:t>
      </w:r>
      <w:r>
        <w:rPr>
          <w:rFonts w:ascii="Times New Roman" w:hAnsi="Times New Roman"/>
          <w:i/>
          <w:color w:val="000000"/>
          <w:sz w:val="20"/>
          <w:vertAlign w:val="subscript"/>
        </w:rPr>
        <w:t>v</w:t>
      </w:r>
      <w:r>
        <w:rPr>
          <w:rFonts w:ascii="Times New Roman" w:hAnsi="Times New Roman"/>
          <w:b w:val="0"/>
          <w:i w:val="0"/>
          <w:color w:val="000000"/>
          <w:sz w:val="20"/>
        </w:rPr>
        <w:t>), and relative azimuth angle (</w:t>
      </w:r>
      <w:r>
        <w:rPr>
          <w:rFonts w:ascii="Times New Roman" w:hAnsi="Times New Roman"/>
          <w:i/>
          <w:color w:val="000000"/>
          <w:sz w:val="20"/>
        </w:rPr>
        <w:t>Δφ</w:t>
      </w:r>
      <w:r>
        <w:rPr>
          <w:rFonts w:ascii="Times New Roman" w:hAnsi="Times New Roman"/>
          <w:b w:val="0"/>
          <w:i w:val="0"/>
          <w:color w:val="000000"/>
          <w:sz w:val="20"/>
        </w:rPr>
        <w: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147"/>
        <w:gridCol w:w="5147"/>
      </w:tblGrid>
      <w:tr>
        <w:tc>
          <w:tcPr>
            <w:tcW w:type="dxa" w:w="4435"/>
            <w:tcMar>
              <w:top w:w="0" w:type="dxa"/>
              <w:bottom w:w="0" w:type="dxa"/>
              <w:left w:w="0" w:type="dxa"/>
              <w:right w:w="0" w:type="dxa"/>
            </w:tcMar>
          </w:tcPr>
          <w:p>
            <w:pPr>
              <w:spacing w:before="24" w:after="24"/>
              <w:jc w:val="center"/>
            </w:pPr>
            <m:oMath>
              <m:limUpp>
                <m:e>
                  <m:r>
                    <m:t>X</m:t>
                  </m:r>
                </m:e>
                <m:lim>
                  <m:r>
                    <m:t>→</m:t>
                  </m:r>
                </m:lim>
              </m:limUpp>
              <m:r>
                <m:t>=[</m:t>
              </m:r>
              <m:sSub>
                <m:e>
                  <m:r>
                    <m:t>L</m:t>
                  </m:r>
                </m:e>
                <m:sub>
                  <m:r>
                    <m:t>rc</m:t>
                  </m:r>
                </m:sub>
              </m:sSub>
              <m:r>
                <m:t>(412),</m:t>
              </m:r>
              <m:sSub>
                <m:e>
                  <m:r>
                    <m:t>L</m:t>
                  </m:r>
                </m:e>
                <m:sub>
                  <m:r>
                    <m:t>rc</m:t>
                  </m:r>
                </m:sub>
              </m:sSub>
              <m:r>
                <m:t>(443),</m:t>
              </m:r>
              <m:sSub>
                <m:e>
                  <m:r>
                    <m:t>L</m:t>
                  </m:r>
                </m:e>
                <m:sub>
                  <m:r>
                    <m:t>rc</m:t>
                  </m:r>
                </m:sub>
              </m:sSub>
              <m:r>
                <m:t>(486),</m:t>
              </m:r>
              <m:sSub>
                <m:e>
                  <m:r>
                    <m:t>L</m:t>
                  </m:r>
                </m:e>
                <m:sub>
                  <m:r>
                    <m:t>rc</m:t>
                  </m:r>
                </m:sub>
              </m:sSub>
              <m:r>
                <m:t>(551),</m:t>
              </m:r>
              <m:sSub>
                <m:e>
                  <m:r>
                    <m:t>L</m:t>
                  </m:r>
                </m:e>
                <m:sub>
                  <m:r>
                    <m:t>rc</m:t>
                  </m:r>
                </m:sub>
              </m:sSub>
              <m:r>
                <m:t>(671),</m:t>
              </m:r>
              <m:r>
                <m:rPr>
                  <m:sty m:val="p"/>
                </m:rPr>
                <m:t>cos</m:t>
              </m:r>
              <m:sSub>
                <m:e>
                  <m:r>
                    <m:t>θ</m:t>
                  </m:r>
                </m:e>
                <m:sub>
                  <m:r>
                    <m:t>s</m:t>
                  </m:r>
                </m:sub>
              </m:sSub>
              <m:r>
                <m:t>,</m:t>
              </m:r>
              <m:r>
                <m:rPr>
                  <m:sty m:val="p"/>
                </m:rPr>
                <m:t>cos</m:t>
              </m:r>
              <m:sSub>
                <m:e>
                  <m:r>
                    <m:t>θ</m:t>
                  </m:r>
                </m:e>
                <m:sub>
                  <m:r>
                    <m:t>v</m:t>
                  </m:r>
                </m:sub>
              </m:sSub>
              <m:r>
                <m:t>,Δϕ]</m:t>
              </m:r>
            </m:oMath>
          </w:p>
        </w:tc>
        <w:tc>
          <w:tcPr>
            <w:tcW w:type="dxa" w:w="590"/>
            <w:tcMar>
              <w:top w:w="0" w:type="dxa"/>
              <w:bottom w:w="0" w:type="dxa"/>
              <w:left w:w="0" w:type="dxa"/>
              <w:right w:w="0" w:type="dxa"/>
            </w:tcMar>
          </w:tcPr>
          <w:p>
            <w:pPr>
              <w:spacing w:before="24" w:after="24"/>
              <w:jc w:val="right"/>
            </w:pPr>
            <w:r>
              <w:rPr>
                <w:rFonts w:ascii="Times New Roman" w:hAnsi="Times New Roman"/>
                <w:color w:val="000000"/>
                <w:sz w:val="19"/>
              </w:rPr>
              <w:t>(1)</w:t>
            </w:r>
          </w:p>
        </w:tc>
      </w:tr>
    </w:tbl>
    <w:p>
      <w:pPr>
        <w:spacing w:before="10" w:after="40" w:line="247" w:lineRule="auto"/>
        <w:jc w:val="both"/>
      </w:pPr>
      <w:r>
        <w:rPr>
          <w:rFonts w:ascii="Times New Roman" w:hAnsi="Times New Roman"/>
          <w:color w:val="000000"/>
          <w:sz w:val="18"/>
        </w:rPr>
        <w:t xml:space="preserve">where </w:t>
      </w:r>
      <w:r>
        <w:rPr>
          <w:rFonts w:ascii="Times New Roman" w:hAnsi="Times New Roman"/>
          <w:i/>
          <w:color w:val="000000"/>
          <w:sz w:val="18"/>
        </w:rPr>
        <w:t>X</w:t>
      </w:r>
      <w:r>
        <w:rPr>
          <w:rFonts w:ascii="Times New Roman" w:hAnsi="Times New Roman"/>
          <w:color w:val="000000"/>
          <w:sz w:val="18"/>
        </w:rPr>
        <w:t xml:space="preserve"> is the neural network input feature vector; </w:t>
      </w:r>
      <w:r>
        <w:rPr>
          <w:rFonts w:ascii="Times New Roman" w:hAnsi="Times New Roman"/>
          <w:i/>
          <w:color w:val="000000"/>
          <w:sz w:val="18"/>
        </w:rPr>
        <w:t>L</w:t>
      </w:r>
      <w:r>
        <w:rPr>
          <w:rFonts w:ascii="Times New Roman" w:hAnsi="Times New Roman"/>
          <w:i w:val="0"/>
          <w:color w:val="000000"/>
          <w:sz w:val="18"/>
          <w:vertAlign w:val="subscript"/>
        </w:rPr>
        <w:t>rc</w:t>
      </w:r>
      <w:r>
        <w:rPr>
          <w:rFonts w:ascii="Times New Roman" w:hAnsi="Times New Roman"/>
          <w:i w:val="0"/>
          <w:color w:val="000000"/>
          <w:sz w:val="18"/>
        </w:rPr>
        <w:t>(</w:t>
      </w:r>
      <w:r>
        <w:rPr>
          <w:rFonts w:ascii="Times New Roman" w:hAnsi="Times New Roman"/>
          <w:i/>
          <w:color w:val="000000"/>
          <w:sz w:val="18"/>
        </w:rPr>
        <w:t>λ</w:t>
      </w:r>
      <w:r>
        <w:rPr>
          <w:rFonts w:ascii="Times New Roman" w:hAnsi="Times New Roman"/>
          <w:color w:val="000000"/>
          <w:sz w:val="18"/>
        </w:rPr>
        <w:t xml:space="preserve">) represents the Rayleigh-corrected top-of-atmosphere radiance across five visible bands (412, 443, 486, 551, and 671 nm); </w:t>
      </w:r>
      <w:r>
        <w:rPr>
          <w:rFonts w:ascii="Times New Roman" w:hAnsi="Times New Roman"/>
          <w:i/>
          <w:color w:val="000000"/>
          <w:sz w:val="18"/>
        </w:rPr>
        <w:t>θ</w:t>
      </w:r>
      <w:r>
        <w:rPr>
          <w:rFonts w:ascii="Times New Roman" w:hAnsi="Times New Roman"/>
          <w:i/>
          <w:color w:val="000000"/>
          <w:sz w:val="18"/>
          <w:vertAlign w:val="subscript"/>
        </w:rPr>
        <w:t>s</w:t>
      </w:r>
      <w:r>
        <w:rPr>
          <w:rFonts w:ascii="Times New Roman" w:hAnsi="Times New Roman"/>
          <w:color w:val="000000"/>
          <w:sz w:val="18"/>
        </w:rPr>
        <w:t xml:space="preserve"> is the solar zenith angle; </w:t>
      </w:r>
      <w:r>
        <w:rPr>
          <w:rFonts w:ascii="Times New Roman" w:hAnsi="Times New Roman"/>
          <w:i/>
          <w:color w:val="000000"/>
          <w:sz w:val="18"/>
        </w:rPr>
        <w:t>θ</w:t>
      </w:r>
      <w:r>
        <w:rPr>
          <w:rFonts w:ascii="Times New Roman" w:hAnsi="Times New Roman"/>
          <w:i/>
          <w:color w:val="000000"/>
          <w:sz w:val="18"/>
          <w:vertAlign w:val="subscript"/>
        </w:rPr>
        <w:t>v</w:t>
      </w:r>
      <w:r>
        <w:rPr>
          <w:rFonts w:ascii="Times New Roman" w:hAnsi="Times New Roman"/>
          <w:color w:val="000000"/>
          <w:sz w:val="18"/>
        </w:rPr>
        <w:t xml:space="preserve"> is the satellite viewing zenith angle; and </w:t>
      </w:r>
      <w:r>
        <w:rPr>
          <w:rFonts w:ascii="Times New Roman" w:hAnsi="Times New Roman"/>
          <w:i/>
          <w:color w:val="000000"/>
          <w:sz w:val="18"/>
        </w:rPr>
        <w:t>Δφ</w:t>
      </w:r>
      <w:r>
        <w:rPr>
          <w:rFonts w:ascii="Times New Roman" w:hAnsi="Times New Roman"/>
          <w:color w:val="000000"/>
          <w:sz w:val="18"/>
        </w:rPr>
        <w:t xml:space="preserve"> is the relative azimuth angle between the sun and sensor.</w:t>
      </w:r>
    </w:p>
    <w:p>
      <w:pPr>
        <w:spacing w:before="0" w:after="44" w:line="247" w:lineRule="auto"/>
        <w:jc w:val="both"/>
      </w:pPr>
      <w:r>
        <w:rPr>
          <w:rFonts w:ascii="Times New Roman" w:hAnsi="Times New Roman"/>
          <w:b w:val="0"/>
          <w:i w:val="0"/>
          <w:color w:val="000000"/>
          <w:sz w:val="20"/>
        </w:rPr>
        <w:t>The neural network uses a hidden layer with 64 neurons and rectified linear unit (ReLU) activation functions. It is trained on clear-sky matchups to predict normalized water-leaving reflectance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i w:val="0"/>
          <w:color w:val="000000"/>
          <w:sz w:val="20"/>
        </w:rPr>
        <w:t>(</w:t>
      </w:r>
      <w:r>
        <w:rPr>
          <w:rFonts w:ascii="Times New Roman" w:hAnsi="Times New Roman"/>
          <w:i/>
          <w:color w:val="000000"/>
          <w:sz w:val="20"/>
        </w:rPr>
        <w:t>λ</w:t>
      </w:r>
      <w:r>
        <w:rPr>
          <w:rFonts w:ascii="Times New Roman" w:hAnsi="Times New Roman"/>
          <w:b w:val="0"/>
          <w:i w:val="0"/>
          <w:color w:val="000000"/>
          <w:sz w:val="20"/>
        </w:rPr>
        <w:t>)) [4]:</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147"/>
        <w:gridCol w:w="5147"/>
      </w:tblGrid>
      <w:tr>
        <w:tc>
          <w:tcPr>
            <w:tcW w:type="dxa" w:w="4435"/>
            <w:tcMar>
              <w:top w:w="0" w:type="dxa"/>
              <w:bottom w:w="0" w:type="dxa"/>
              <w:left w:w="0" w:type="dxa"/>
              <w:right w:w="0" w:type="dxa"/>
            </w:tcMar>
          </w:tcPr>
          <w:p>
            <w:pPr>
              <w:spacing w:before="24" w:after="24"/>
              <w:jc w:val="center"/>
            </w:pPr>
            <m:oMath>
              <m:sSub>
                <m:e>
                  <m:r>
                    <m:t>R</m:t>
                  </m:r>
                </m:e>
                <m:sub>
                  <m:r>
                    <m:t>rs</m:t>
                  </m:r>
                </m:sub>
              </m:sSub>
              <m:r>
                <m:t>(λ)=</m:t>
              </m:r>
              <m:sSub>
                <m:e>
                  <m:r>
                    <m:t>f</m:t>
                  </m:r>
                </m:e>
                <m:sub>
                  <m:r>
                    <m:rPr>
                      <m:nor/>
                    </m:rPr>
                    <m:t>NN-V</m:t>
                  </m:r>
                </m:sub>
              </m:sSub>
              <m:r>
                <m:t>(</m:t>
              </m:r>
              <m:limUpp>
                <m:e>
                  <m:r>
                    <m:t>X</m:t>
                  </m:r>
                </m:e>
                <m:lim>
                  <m:r>
                    <m:t>→</m:t>
                  </m:r>
                </m:lim>
              </m:limUpp>
              <m:r>
                <m:t>)</m:t>
              </m:r>
            </m:oMath>
          </w:p>
        </w:tc>
        <w:tc>
          <w:tcPr>
            <w:tcW w:type="dxa" w:w="590"/>
            <w:tcMar>
              <w:top w:w="0" w:type="dxa"/>
              <w:bottom w:w="0" w:type="dxa"/>
              <w:left w:w="0" w:type="dxa"/>
              <w:right w:w="0" w:type="dxa"/>
            </w:tcMar>
          </w:tcPr>
          <w:p>
            <w:pPr>
              <w:spacing w:before="24" w:after="24"/>
              <w:jc w:val="right"/>
            </w:pPr>
            <w:r>
              <w:rPr>
                <w:rFonts w:ascii="Times New Roman" w:hAnsi="Times New Roman"/>
                <w:color w:val="000000"/>
                <w:sz w:val="19"/>
              </w:rPr>
              <w:t>(2)</w:t>
            </w:r>
          </w:p>
        </w:tc>
      </w:tr>
    </w:tbl>
    <w:p>
      <w:pPr>
        <w:spacing w:before="10" w:after="40" w:line="247" w:lineRule="auto"/>
        <w:jc w:val="both"/>
      </w:pPr>
      <w:r>
        <w:rPr>
          <w:rFonts w:ascii="Times New Roman" w:hAnsi="Times New Roman"/>
          <w:color w:val="000000"/>
          <w:sz w:val="18"/>
        </w:rPr>
        <w:t xml:space="preserve">where </w:t>
      </w:r>
      <w:r>
        <w:rPr>
          <w:rFonts w:ascii="Times New Roman" w:hAnsi="Times New Roman"/>
          <w:i/>
          <w:color w:val="000000"/>
          <w:sz w:val="18"/>
        </w:rPr>
        <w:t>R</w:t>
      </w:r>
      <w:r>
        <w:rPr>
          <w:rFonts w:ascii="Times New Roman" w:hAnsi="Times New Roman"/>
          <w:i w:val="0"/>
          <w:color w:val="000000"/>
          <w:sz w:val="18"/>
          <w:vertAlign w:val="subscript"/>
        </w:rPr>
        <w:t>rs</w:t>
      </w:r>
      <w:r>
        <w:rPr>
          <w:rFonts w:ascii="Times New Roman" w:hAnsi="Times New Roman"/>
          <w:i w:val="0"/>
          <w:color w:val="000000"/>
          <w:sz w:val="18"/>
        </w:rPr>
        <w:t>(</w:t>
      </w:r>
      <w:r>
        <w:rPr>
          <w:rFonts w:ascii="Times New Roman" w:hAnsi="Times New Roman"/>
          <w:i/>
          <w:color w:val="000000"/>
          <w:sz w:val="18"/>
        </w:rPr>
        <w:t>λ</w:t>
      </w:r>
      <w:r>
        <w:rPr>
          <w:rFonts w:ascii="Times New Roman" w:hAnsi="Times New Roman"/>
          <w:color w:val="000000"/>
          <w:sz w:val="18"/>
        </w:rPr>
        <w:t xml:space="preserve">) is the water-leaving remote sensing reflectance at wavelength </w:t>
      </w:r>
      <w:r>
        <w:rPr>
          <w:rFonts w:ascii="Times New Roman" w:hAnsi="Times New Roman"/>
          <w:i/>
          <w:color w:val="000000"/>
          <w:sz w:val="18"/>
        </w:rPr>
        <w:t>λ</w:t>
      </w:r>
      <w:r>
        <w:rPr>
          <w:rFonts w:ascii="Times New Roman" w:hAnsi="Times New Roman"/>
          <w:color w:val="000000"/>
          <w:sz w:val="18"/>
        </w:rPr>
        <w:t xml:space="preserve"> (in sr⁻¹); </w:t>
      </w:r>
      <w:r>
        <w:rPr>
          <w:rFonts w:ascii="Times New Roman" w:hAnsi="Times New Roman"/>
          <w:i/>
          <w:color w:val="000000"/>
          <w:sz w:val="18"/>
        </w:rPr>
        <w:t>f</w:t>
      </w:r>
      <w:r>
        <w:rPr>
          <w:rFonts w:ascii="Times New Roman" w:hAnsi="Times New Roman"/>
          <w:i w:val="0"/>
          <w:color w:val="000000"/>
          <w:sz w:val="18"/>
          <w:vertAlign w:val="subscript"/>
        </w:rPr>
        <w:t>NN-V</w:t>
      </w:r>
      <w:r>
        <w:rPr>
          <w:rFonts w:ascii="Times New Roman" w:hAnsi="Times New Roman"/>
          <w:color w:val="000000"/>
          <w:sz w:val="18"/>
        </w:rPr>
        <w:t xml:space="preserve"> is the function learned by the neural network; and </w:t>
      </w:r>
      <w:r>
        <w:rPr>
          <w:rFonts w:ascii="Times New Roman" w:hAnsi="Times New Roman"/>
          <w:i/>
          <w:color w:val="000000"/>
          <w:sz w:val="18"/>
        </w:rPr>
        <w:t>X</w:t>
      </w:r>
      <w:r>
        <w:rPr>
          <w:rFonts w:ascii="Times New Roman" w:hAnsi="Times New Roman"/>
          <w:color w:val="000000"/>
          <w:sz w:val="18"/>
        </w:rPr>
        <w:t xml:space="preserve"> is the combined input vector of radiances and angles.</w:t>
      </w:r>
    </w:p>
    <w:p>
      <w:pPr>
        <w:spacing w:before="0" w:after="44" w:line="247" w:lineRule="auto"/>
        <w:jc w:val="both"/>
      </w:pPr>
      <w:r>
        <w:rPr>
          <w:rFonts w:ascii="Times New Roman" w:hAnsi="Times New Roman"/>
          <w:b w:val="0"/>
          <w:i w:val="0"/>
          <w:color w:val="000000"/>
          <w:sz w:val="20"/>
        </w:rPr>
        <w:t xml:space="preserve">This neural approach removes atmospheric path scattering, recovering valid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 xml:space="preserve"> values in winter coastal regions and reducing retrieval bias from -38.59% down to -5.27% [4].</w:t>
      </w:r>
    </w:p>
    <w:p>
      <w:pPr>
        <w:keepNext/>
        <w:spacing w:before="90" w:after="24"/>
        <w:jc w:val="left"/>
      </w:pPr>
      <w:r>
        <w:rPr>
          <w:rFonts w:ascii="Times New Roman" w:hAnsi="Times New Roman"/>
          <w:b/>
          <w:i/>
          <w:color w:val="000000"/>
          <w:sz w:val="20"/>
        </w:rPr>
        <w:t>C. Stage 3: Bio-Optical Inversion and Narrow-Band Feature Engineering</w:t>
      </w:r>
    </w:p>
    <w:p>
      <w:pPr>
        <w:spacing w:before="0" w:after="44" w:line="247" w:lineRule="auto"/>
        <w:jc w:val="both"/>
      </w:pPr>
      <w:r>
        <w:rPr>
          <w:rFonts w:ascii="Times New Roman" w:hAnsi="Times New Roman"/>
          <w:b w:val="0"/>
          <w:i w:val="0"/>
          <w:color w:val="000000"/>
          <w:sz w:val="20"/>
        </w:rPr>
        <w:t>After atmospheric correction, the reflectance spectra are inverted into inherent optical properties using the Quasi-Analytical Algorithm (QAA v6) [7], [20]. First, above-water remote sensing reflectance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 is converted to below-surface reflectance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 [9]:</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147"/>
        <w:gridCol w:w="5147"/>
      </w:tblGrid>
      <w:tr>
        <w:tc>
          <w:tcPr>
            <w:tcW w:type="dxa" w:w="4435"/>
            <w:tcMar>
              <w:top w:w="0" w:type="dxa"/>
              <w:bottom w:w="0" w:type="dxa"/>
              <w:left w:w="0" w:type="dxa"/>
              <w:right w:w="0" w:type="dxa"/>
            </w:tcMar>
          </w:tcPr>
          <w:p>
            <w:pPr>
              <w:spacing w:before="24" w:after="24"/>
              <w:jc w:val="center"/>
            </w:pPr>
            <m:oMath>
              <m:sSub>
                <m:e>
                  <m:r>
                    <m:t>r</m:t>
                  </m:r>
                </m:e>
                <m:sub>
                  <m:r>
                    <m:t>rs</m:t>
                  </m:r>
                </m:sub>
              </m:sSub>
              <m:r>
                <m:t>(λ)=</m:t>
              </m:r>
              <m:f>
                <m:fPr>
                  <m:type m:val="bar"/>
                </m:fPr>
                <m:num>
                  <m:sSub>
                    <m:e>
                      <m:r>
                        <m:t>R</m:t>
                      </m:r>
                    </m:e>
                    <m:sub>
                      <m:r>
                        <m:t>rs</m:t>
                      </m:r>
                    </m:sub>
                  </m:sSub>
                  <m:r>
                    <m:t>(λ)</m:t>
                  </m:r>
                </m:num>
                <m:den>
                  <m:r>
                    <m:t>0.52+1.7</m:t>
                  </m:r>
                  <m:sSub>
                    <m:e>
                      <m:r>
                        <m:t>R</m:t>
                      </m:r>
                    </m:e>
                    <m:sub>
                      <m:r>
                        <m:t>rs</m:t>
                      </m:r>
                    </m:sub>
                  </m:sSub>
                  <m:r>
                    <m:t>(λ)</m:t>
                  </m:r>
                </m:den>
              </m:f>
            </m:oMath>
          </w:p>
        </w:tc>
        <w:tc>
          <w:tcPr>
            <w:tcW w:type="dxa" w:w="590"/>
            <w:tcMar>
              <w:top w:w="0" w:type="dxa"/>
              <w:bottom w:w="0" w:type="dxa"/>
              <w:left w:w="0" w:type="dxa"/>
              <w:right w:w="0" w:type="dxa"/>
            </w:tcMar>
          </w:tcPr>
          <w:p>
            <w:pPr>
              <w:spacing w:before="24" w:after="24"/>
              <w:jc w:val="right"/>
            </w:pPr>
            <w:r>
              <w:rPr>
                <w:rFonts w:ascii="Times New Roman" w:hAnsi="Times New Roman"/>
                <w:color w:val="000000"/>
                <w:sz w:val="19"/>
              </w:rPr>
              <w:t>(3)</w:t>
            </w:r>
          </w:p>
        </w:tc>
      </w:tr>
    </w:tbl>
    <w:p>
      <w:pPr>
        <w:spacing w:before="10" w:after="40" w:line="247" w:lineRule="auto"/>
        <w:jc w:val="both"/>
      </w:pPr>
      <w:r>
        <w:rPr>
          <w:rFonts w:ascii="Times New Roman" w:hAnsi="Times New Roman"/>
          <w:color w:val="000000"/>
          <w:sz w:val="18"/>
        </w:rPr>
        <w:t xml:space="preserve">where </w:t>
      </w:r>
      <w:r>
        <w:rPr>
          <w:rFonts w:ascii="Times New Roman" w:hAnsi="Times New Roman"/>
          <w:i/>
          <w:color w:val="000000"/>
          <w:sz w:val="18"/>
        </w:rPr>
        <w:t>r</w:t>
      </w:r>
      <w:r>
        <w:rPr>
          <w:rFonts w:ascii="Times New Roman" w:hAnsi="Times New Roman"/>
          <w:i w:val="0"/>
          <w:color w:val="000000"/>
          <w:sz w:val="18"/>
          <w:vertAlign w:val="subscript"/>
        </w:rPr>
        <w:t>rs</w:t>
      </w:r>
      <w:r>
        <w:rPr>
          <w:rFonts w:ascii="Times New Roman" w:hAnsi="Times New Roman"/>
          <w:i w:val="0"/>
          <w:color w:val="000000"/>
          <w:sz w:val="18"/>
        </w:rPr>
        <w:t>(</w:t>
      </w:r>
      <w:r>
        <w:rPr>
          <w:rFonts w:ascii="Times New Roman" w:hAnsi="Times New Roman"/>
          <w:i/>
          <w:color w:val="000000"/>
          <w:sz w:val="18"/>
        </w:rPr>
        <w:t>λ</w:t>
      </w:r>
      <w:r>
        <w:rPr>
          <w:rFonts w:ascii="Times New Roman" w:hAnsi="Times New Roman"/>
          <w:color w:val="000000"/>
          <w:sz w:val="18"/>
        </w:rPr>
        <w:t xml:space="preserve">) is the below-surface reflectance just beneath the water surface (sr⁻¹); </w:t>
      </w:r>
      <w:r>
        <w:rPr>
          <w:rFonts w:ascii="Times New Roman" w:hAnsi="Times New Roman"/>
          <w:i/>
          <w:color w:val="000000"/>
          <w:sz w:val="18"/>
        </w:rPr>
        <w:t>R</w:t>
      </w:r>
      <w:r>
        <w:rPr>
          <w:rFonts w:ascii="Times New Roman" w:hAnsi="Times New Roman"/>
          <w:i w:val="0"/>
          <w:color w:val="000000"/>
          <w:sz w:val="18"/>
          <w:vertAlign w:val="subscript"/>
        </w:rPr>
        <w:t>rs</w:t>
      </w:r>
      <w:r>
        <w:rPr>
          <w:rFonts w:ascii="Times New Roman" w:hAnsi="Times New Roman"/>
          <w:i w:val="0"/>
          <w:color w:val="000000"/>
          <w:sz w:val="18"/>
        </w:rPr>
        <w:t>(</w:t>
      </w:r>
      <w:r>
        <w:rPr>
          <w:rFonts w:ascii="Times New Roman" w:hAnsi="Times New Roman"/>
          <w:i/>
          <w:color w:val="000000"/>
          <w:sz w:val="18"/>
        </w:rPr>
        <w:t>λ</w:t>
      </w:r>
      <w:r>
        <w:rPr>
          <w:rFonts w:ascii="Times New Roman" w:hAnsi="Times New Roman"/>
          <w:color w:val="000000"/>
          <w:sz w:val="18"/>
        </w:rPr>
        <w:t>) is above-water reflectance; and 0.52 and 1.7 are standard empirical air-water transmission constants.</w:t>
      </w:r>
    </w:p>
    <w:p>
      <w:pPr>
        <w:spacing w:before="0" w:after="44" w:line="247" w:lineRule="auto"/>
        <w:jc w:val="both"/>
      </w:pPr>
      <w:r>
        <w:rPr>
          <w:rFonts w:ascii="Times New Roman" w:hAnsi="Times New Roman"/>
          <w:b w:val="0"/>
          <w:i w:val="0"/>
          <w:color w:val="000000"/>
          <w:sz w:val="20"/>
        </w:rPr>
        <w:t xml:space="preserve">The ratio of backscattering to total absorption and backscattering, denoted as </w:t>
      </w:r>
      <w:r>
        <w:rPr>
          <w:rFonts w:ascii="Times New Roman" w:hAnsi="Times New Roman"/>
          <w:i/>
          <w:color w:val="000000"/>
          <w:sz w:val="20"/>
        </w:rPr>
        <w:t>u</w:t>
      </w:r>
      <w:r>
        <w:rPr>
          <w:rFonts w:ascii="Times New Roman" w:hAnsi="Times New Roman"/>
          <w:i w:val="0"/>
          <w:color w:val="000000"/>
          <w:sz w:val="20"/>
        </w:rPr>
        <w:t>(</w:t>
      </w:r>
      <w:r>
        <w:rPr>
          <w:rFonts w:ascii="Times New Roman" w:hAnsi="Times New Roman"/>
          <w:i/>
          <w:color w:val="000000"/>
          <w:sz w:val="20"/>
        </w:rPr>
        <w:t>λ</w:t>
      </w:r>
      <w:r>
        <w:rPr>
          <w:rFonts w:ascii="Times New Roman" w:hAnsi="Times New Roman"/>
          <w:b w:val="0"/>
          <w:i w:val="0"/>
          <w:color w:val="000000"/>
          <w:sz w:val="20"/>
        </w:rPr>
        <w:t>), is computed analytically as: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147"/>
        <w:gridCol w:w="5147"/>
      </w:tblGrid>
      <w:tr>
        <w:tc>
          <w:tcPr>
            <w:tcW w:type="dxa" w:w="4435"/>
            <w:tcMar>
              <w:top w:w="0" w:type="dxa"/>
              <w:bottom w:w="0" w:type="dxa"/>
              <w:left w:w="0" w:type="dxa"/>
              <w:right w:w="0" w:type="dxa"/>
            </w:tcMar>
          </w:tcPr>
          <w:p>
            <w:pPr>
              <w:spacing w:before="24" w:after="24"/>
              <w:jc w:val="center"/>
            </w:pPr>
            <m:oMath>
              <m:r>
                <m:t>u(λ)=</m:t>
              </m:r>
              <m:f>
                <m:fPr>
                  <m:type m:val="bar"/>
                </m:fPr>
                <m:num>
                  <m:r>
                    <m:t>−</m:t>
                  </m:r>
                  <m:sSub>
                    <m:e>
                      <m:r>
                        <m:t>g</m:t>
                      </m:r>
                    </m:e>
                    <m:sub>
                      <m:r>
                        <m:t>0</m:t>
                      </m:r>
                    </m:sub>
                  </m:sSub>
                  <m:r>
                    <m:t>+</m:t>
                  </m:r>
                  <m:rad>
                    <m:radPr>
                      <m:degHide m:val="on"/>
                    </m:radPr>
                    <m:deg/>
                    <m:e>
                      <m:d>
                        <m:dPr>
                          <m:sepChr m:val=""/>
                        </m:dPr>
                        <m:e>
                          <m:sSub>
                            <m:e>
                              <m:r>
                                <m:t>g</m:t>
                              </m:r>
                            </m:e>
                            <m:sub>
                              <m:r>
                                <m:t>0</m:t>
                              </m:r>
                            </m:sub>
                          </m:sSub>
                          <m:sSup>
                            <m:e>
                              <m:r>
                                <m:t>)</m:t>
                              </m:r>
                            </m:e>
                            <m:sup>
                              <m:r>
                                <m:t>2</m:t>
                              </m:r>
                            </m:sup>
                          </m:sSup>
                          <m:r>
                            <m:t>+</m:t>
                          </m:r>
                          <m:r>
                            <m:t>4</m:t>
                          </m:r>
                          <m:sSub>
                            <m:e>
                              <m:r>
                                <m:t>g</m:t>
                              </m:r>
                            </m:e>
                            <m:sub>
                              <m:r>
                                <m:t>1</m:t>
                              </m:r>
                            </m:sub>
                          </m:sSub>
                          <m:sSub>
                            <m:e>
                              <m:r>
                                <m:t>r</m:t>
                              </m:r>
                            </m:e>
                            <m:sub>
                              <m:r>
                                <m:t>rs</m:t>
                              </m:r>
                            </m:sub>
                          </m:sSub>
                          <m:r>
                            <m:t>(</m:t>
                          </m:r>
                          <m:r>
                            <m:t>λ</m:t>
                          </m:r>
                        </m:e>
                      </m:d>
                    </m:e>
                  </m:rad>
                </m:num>
                <m:den>
                  <m:r>
                    <m:t>2</m:t>
                  </m:r>
                  <m:sSub>
                    <m:e>
                      <m:r>
                        <m:t>g</m:t>
                      </m:r>
                    </m:e>
                    <m:sub>
                      <m:r>
                        <m:t>1</m:t>
                      </m:r>
                    </m:sub>
                  </m:sSub>
                </m:den>
              </m:f>
            </m:oMath>
          </w:p>
        </w:tc>
        <w:tc>
          <w:tcPr>
            <w:tcW w:type="dxa" w:w="590"/>
            <w:tcMar>
              <w:top w:w="0" w:type="dxa"/>
              <w:bottom w:w="0" w:type="dxa"/>
              <w:left w:w="0" w:type="dxa"/>
              <w:right w:w="0" w:type="dxa"/>
            </w:tcMar>
          </w:tcPr>
          <w:p>
            <w:pPr>
              <w:spacing w:before="24" w:after="24"/>
              <w:jc w:val="right"/>
            </w:pPr>
            <w:r>
              <w:rPr>
                <w:rFonts w:ascii="Times New Roman" w:hAnsi="Times New Roman"/>
                <w:color w:val="000000"/>
                <w:sz w:val="19"/>
              </w:rPr>
              <w:t>(4)</w:t>
            </w:r>
          </w:p>
        </w:tc>
      </w:tr>
    </w:tbl>
    <w:p>
      <w:pPr>
        <w:spacing w:before="10" w:after="40" w:line="247" w:lineRule="auto"/>
        <w:jc w:val="both"/>
      </w:pPr>
      <w:r>
        <w:rPr>
          <w:rFonts w:ascii="Times New Roman" w:hAnsi="Times New Roman"/>
          <w:color w:val="000000"/>
          <w:sz w:val="18"/>
        </w:rPr>
        <w:t xml:space="preserve">where </w:t>
      </w:r>
      <w:r>
        <w:rPr>
          <w:rFonts w:ascii="Times New Roman" w:hAnsi="Times New Roman"/>
          <w:i/>
          <w:color w:val="000000"/>
          <w:sz w:val="18"/>
        </w:rPr>
        <w:t>u</w:t>
      </w:r>
      <w:r>
        <w:rPr>
          <w:rFonts w:ascii="Times New Roman" w:hAnsi="Times New Roman"/>
          <w:i w:val="0"/>
          <w:color w:val="000000"/>
          <w:sz w:val="18"/>
        </w:rPr>
        <w:t>(</w:t>
      </w:r>
      <w:r>
        <w:rPr>
          <w:rFonts w:ascii="Times New Roman" w:hAnsi="Times New Roman"/>
          <w:i/>
          <w:color w:val="000000"/>
          <w:sz w:val="18"/>
        </w:rPr>
        <w:t>λ</w:t>
      </w:r>
      <w:r>
        <w:rPr>
          <w:rFonts w:ascii="Times New Roman" w:hAnsi="Times New Roman"/>
          <w:color w:val="000000"/>
          <w:sz w:val="18"/>
        </w:rPr>
        <w:t xml:space="preserve">) is the optical ratio defined as </w:t>
      </w:r>
      <w:r>
        <w:rPr>
          <w:rFonts w:ascii="Times New Roman" w:hAnsi="Times New Roman"/>
          <w:i/>
          <w:color w:val="000000"/>
          <w:sz w:val="18"/>
        </w:rPr>
        <w:t>b</w:t>
      </w:r>
      <w:r>
        <w:rPr>
          <w:rFonts w:ascii="Times New Roman" w:hAnsi="Times New Roman"/>
          <w:i w:val="0"/>
          <w:color w:val="000000"/>
          <w:sz w:val="18"/>
          <w:vertAlign w:val="subscript"/>
        </w:rPr>
        <w:t>bp</w:t>
      </w:r>
      <w:r>
        <w:rPr>
          <w:rFonts w:ascii="Times New Roman" w:hAnsi="Times New Roman"/>
          <w:color w:val="000000"/>
          <w:sz w:val="18"/>
        </w:rPr>
        <w:t xml:space="preserve"> / (</w:t>
      </w:r>
      <w:r>
        <w:rPr>
          <w:rFonts w:ascii="Times New Roman" w:hAnsi="Times New Roman"/>
          <w:i/>
          <w:color w:val="000000"/>
          <w:sz w:val="18"/>
        </w:rPr>
        <w:t>a</w:t>
      </w:r>
      <w:r>
        <w:rPr>
          <w:rFonts w:ascii="Times New Roman" w:hAnsi="Times New Roman"/>
          <w:color w:val="000000"/>
          <w:sz w:val="18"/>
        </w:rPr>
        <w:t xml:space="preserve"> + </w:t>
      </w:r>
      <w:r>
        <w:rPr>
          <w:rFonts w:ascii="Times New Roman" w:hAnsi="Times New Roman"/>
          <w:i/>
          <w:color w:val="000000"/>
          <w:sz w:val="18"/>
        </w:rPr>
        <w:t>b</w:t>
      </w:r>
      <w:r>
        <w:rPr>
          <w:rFonts w:ascii="Times New Roman" w:hAnsi="Times New Roman"/>
          <w:i w:val="0"/>
          <w:color w:val="000000"/>
          <w:sz w:val="18"/>
          <w:vertAlign w:val="subscript"/>
        </w:rPr>
        <w:t>bp</w:t>
      </w:r>
      <w:r>
        <w:rPr>
          <w:rFonts w:ascii="Times New Roman" w:hAnsi="Times New Roman"/>
          <w:color w:val="000000"/>
          <w:sz w:val="18"/>
        </w:rPr>
        <w:t xml:space="preserve">); </w:t>
      </w:r>
      <w:r>
        <w:rPr>
          <w:rFonts w:ascii="Times New Roman" w:hAnsi="Times New Roman"/>
          <w:i/>
          <w:color w:val="000000"/>
          <w:sz w:val="18"/>
        </w:rPr>
        <w:t>g</w:t>
      </w:r>
      <w:r>
        <w:rPr>
          <w:rFonts w:ascii="Times New Roman" w:hAnsi="Times New Roman"/>
          <w:i w:val="0"/>
          <w:color w:val="000000"/>
          <w:sz w:val="18"/>
          <w:vertAlign w:val="subscript"/>
        </w:rPr>
        <w:t>0</w:t>
      </w:r>
      <w:r>
        <w:rPr>
          <w:rFonts w:ascii="Times New Roman" w:hAnsi="Times New Roman"/>
          <w:color w:val="000000"/>
          <w:sz w:val="18"/>
        </w:rPr>
        <w:t xml:space="preserve"> = 0.0895 and </w:t>
      </w:r>
      <w:r>
        <w:rPr>
          <w:rFonts w:ascii="Times New Roman" w:hAnsi="Times New Roman"/>
          <w:i/>
          <w:color w:val="000000"/>
          <w:sz w:val="18"/>
        </w:rPr>
        <w:t>g</w:t>
      </w:r>
      <w:r>
        <w:rPr>
          <w:rFonts w:ascii="Times New Roman" w:hAnsi="Times New Roman"/>
          <w:i w:val="0"/>
          <w:color w:val="000000"/>
          <w:sz w:val="18"/>
          <w:vertAlign w:val="subscript"/>
        </w:rPr>
        <w:t>1</w:t>
      </w:r>
      <w:r>
        <w:rPr>
          <w:rFonts w:ascii="Times New Roman" w:hAnsi="Times New Roman"/>
          <w:color w:val="000000"/>
          <w:sz w:val="18"/>
        </w:rPr>
        <w:t xml:space="preserve"> = 0.1247 are phase-function constants; and </w:t>
      </w:r>
      <w:r>
        <w:rPr>
          <w:rFonts w:ascii="Times New Roman" w:hAnsi="Times New Roman"/>
          <w:i/>
          <w:color w:val="000000"/>
          <w:sz w:val="18"/>
        </w:rPr>
        <w:t>r</w:t>
      </w:r>
      <w:r>
        <w:rPr>
          <w:rFonts w:ascii="Times New Roman" w:hAnsi="Times New Roman"/>
          <w:i w:val="0"/>
          <w:color w:val="000000"/>
          <w:sz w:val="18"/>
          <w:vertAlign w:val="subscript"/>
        </w:rPr>
        <w:t>rs</w:t>
      </w:r>
      <w:r>
        <w:rPr>
          <w:rFonts w:ascii="Times New Roman" w:hAnsi="Times New Roman"/>
          <w:i w:val="0"/>
          <w:color w:val="000000"/>
          <w:sz w:val="18"/>
        </w:rPr>
        <w:t>(</w:t>
      </w:r>
      <w:r>
        <w:rPr>
          <w:rFonts w:ascii="Times New Roman" w:hAnsi="Times New Roman"/>
          <w:i/>
          <w:color w:val="000000"/>
          <w:sz w:val="18"/>
        </w:rPr>
        <w:t>λ</w:t>
      </w:r>
      <w:r>
        <w:rPr>
          <w:rFonts w:ascii="Times New Roman" w:hAnsi="Times New Roman"/>
          <w:color w:val="000000"/>
          <w:sz w:val="18"/>
        </w:rPr>
        <w:t>) is the subsurface reflectance.</w:t>
      </w:r>
    </w:p>
    <w:p>
      <w:pPr>
        <w:spacing w:before="0" w:after="44" w:line="247" w:lineRule="auto"/>
        <w:jc w:val="both"/>
      </w:pPr>
      <w:r>
        <w:rPr>
          <w:rFonts w:ascii="Times New Roman" w:hAnsi="Times New Roman"/>
          <w:b w:val="0"/>
          <w:i w:val="0"/>
          <w:color w:val="000000"/>
          <w:sz w:val="20"/>
        </w:rPr>
        <w:t>The particulate backscattering coefficient (</w:t>
      </w:r>
      <w:r>
        <w:rPr>
          <w:rFonts w:ascii="Times New Roman" w:hAnsi="Times New Roman"/>
          <w:i/>
          <w:color w:val="000000"/>
          <w:sz w:val="20"/>
        </w:rPr>
        <w:t>b</w:t>
      </w:r>
      <w:r>
        <w:rPr>
          <w:rFonts w:ascii="Times New Roman" w:hAnsi="Times New Roman"/>
          <w:i w:val="0"/>
          <w:color w:val="000000"/>
          <w:sz w:val="20"/>
          <w:vertAlign w:val="subscript"/>
        </w:rPr>
        <w:t>bp</w:t>
      </w:r>
      <w:r>
        <w:rPr>
          <w:rFonts w:ascii="Times New Roman" w:hAnsi="Times New Roman"/>
          <w:i w:val="0"/>
          <w:color w:val="000000"/>
          <w:sz w:val="20"/>
        </w:rPr>
        <w:t>(</w:t>
      </w:r>
      <w:r>
        <w:rPr>
          <w:rFonts w:ascii="Times New Roman" w:hAnsi="Times New Roman"/>
          <w:i/>
          <w:color w:val="000000"/>
          <w:sz w:val="20"/>
        </w:rPr>
        <w:t>λ</w:t>
      </w:r>
      <w:r>
        <w:rPr>
          <w:rFonts w:ascii="Times New Roman" w:hAnsi="Times New Roman"/>
          <w:b w:val="0"/>
          <w:i w:val="0"/>
          <w:color w:val="000000"/>
          <w:sz w:val="20"/>
        </w:rPr>
        <w:t>)) and non-water absorption (</w:t>
      </w:r>
      <w:r>
        <w:rPr>
          <w:rFonts w:ascii="Times New Roman" w:hAnsi="Times New Roman"/>
          <w:i/>
          <w:color w:val="000000"/>
          <w:sz w:val="20"/>
        </w:rPr>
        <w:t>a</w:t>
      </w:r>
      <w:r>
        <w:rPr>
          <w:rFonts w:ascii="Times New Roman" w:hAnsi="Times New Roman"/>
          <w:i w:val="0"/>
          <w:color w:val="000000"/>
          <w:sz w:val="20"/>
          <w:vertAlign w:val="subscript"/>
        </w:rPr>
        <w:t>nw</w:t>
      </w:r>
      <w:r>
        <w:rPr>
          <w:rFonts w:ascii="Times New Roman" w:hAnsi="Times New Roman"/>
          <w:i w:val="0"/>
          <w:color w:val="000000"/>
          <w:sz w:val="20"/>
        </w:rPr>
        <w:t>(</w:t>
      </w:r>
      <w:r>
        <w:rPr>
          <w:rFonts w:ascii="Times New Roman" w:hAnsi="Times New Roman"/>
          <w:i/>
          <w:color w:val="000000"/>
          <w:sz w:val="20"/>
        </w:rPr>
        <w:t>λ</w:t>
      </w:r>
      <w:r>
        <w:rPr>
          <w:rFonts w:ascii="Times New Roman" w:hAnsi="Times New Roman"/>
          <w:b w:val="0"/>
          <w:i w:val="0"/>
          <w:color w:val="000000"/>
          <w:sz w:val="20"/>
        </w:rPr>
        <w:t xml:space="preserve">)) are then calculated using reference wavelengths at </w:t>
      </w:r>
      <w:r>
        <w:rPr>
          <w:rFonts w:ascii="Times New Roman" w:hAnsi="Times New Roman"/>
          <w:i/>
          <w:color w:val="000000"/>
          <w:sz w:val="20"/>
        </w:rPr>
        <w:t>λ</w:t>
      </w:r>
      <w:r>
        <w:rPr>
          <w:rFonts w:ascii="Times New Roman" w:hAnsi="Times New Roman"/>
          <w:i w:val="0"/>
          <w:color w:val="000000"/>
          <w:sz w:val="20"/>
          <w:vertAlign w:val="subscript"/>
        </w:rPr>
        <w:t>0</w:t>
      </w:r>
      <w:r>
        <w:rPr>
          <w:rFonts w:ascii="Times New Roman" w:hAnsi="Times New Roman"/>
          <w:b w:val="0"/>
          <w:i w:val="0"/>
          <w:color w:val="000000"/>
          <w:sz w:val="20"/>
        </w:rPr>
        <w:t xml:space="preserve"> = 555 nm or 670 nm [9], [20].</w:t>
      </w:r>
    </w:p>
    <w:p>
      <w:pPr>
        <w:spacing w:before="0" w:after="44" w:line="247" w:lineRule="auto"/>
        <w:jc w:val="both"/>
      </w:pPr>
      <w:r>
        <w:rPr>
          <w:rFonts w:ascii="Times New Roman" w:hAnsi="Times New Roman"/>
          <w:b w:val="0"/>
          <w:i w:val="0"/>
          <w:color w:val="000000"/>
          <w:sz w:val="20"/>
        </w:rPr>
        <w:t xml:space="preserve">To target green </w:t>
      </w:r>
      <w:r>
        <w:rPr>
          <w:rFonts w:ascii="Times New Roman" w:hAnsi="Times New Roman"/>
          <w:i/>
          <w:color w:val="000000"/>
          <w:sz w:val="20"/>
        </w:rPr>
        <w:t>Noctiluca scintillans</w:t>
      </w:r>
      <w:r>
        <w:rPr>
          <w:rFonts w:ascii="Times New Roman" w:hAnsi="Times New Roman"/>
          <w:b w:val="0"/>
          <w:i w:val="0"/>
          <w:color w:val="000000"/>
          <w:sz w:val="20"/>
        </w:rPr>
        <w:t xml:space="preserve"> specifically, we calculate two diagnostic optical features based on the experimental findings of Pandi et al. [1] and Baliarsingh et al. [17]:</w:t>
      </w:r>
    </w:p>
    <w:p>
      <w:pPr>
        <w:spacing w:before="40" w:after="20" w:line="247" w:lineRule="auto"/>
        <w:jc w:val="both"/>
      </w:pPr>
      <w:r>
        <w:rPr>
          <w:rFonts w:ascii="Times New Roman" w:hAnsi="Times New Roman"/>
          <w:b/>
          <w:i w:val="0"/>
          <w:color w:val="000000"/>
          <w:sz w:val="20"/>
        </w:rPr>
        <w:t>1. Noctiluca Reflectance Ratio (NRR):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147"/>
        <w:gridCol w:w="5147"/>
      </w:tblGrid>
      <w:tr>
        <w:tc>
          <w:tcPr>
            <w:tcW w:type="dxa" w:w="4435"/>
            <w:tcMar>
              <w:top w:w="0" w:type="dxa"/>
              <w:bottom w:w="0" w:type="dxa"/>
              <w:left w:w="0" w:type="dxa"/>
              <w:right w:w="0" w:type="dxa"/>
            </w:tcMar>
          </w:tcPr>
          <w:p>
            <w:pPr>
              <w:spacing w:before="24" w:after="24"/>
              <w:jc w:val="center"/>
            </w:pPr>
            <m:oMath>
              <m:r>
                <m:t>NRR=</m:t>
              </m:r>
              <m:f>
                <m:fPr>
                  <m:type m:val="bar"/>
                </m:fPr>
                <m:num>
                  <m:sSub>
                    <m:e>
                      <m:r>
                        <m:t>R</m:t>
                      </m:r>
                    </m:e>
                    <m:sub>
                      <m:r>
                        <m:t>rs</m:t>
                      </m:r>
                    </m:sub>
                  </m:sSub>
                  <m:r>
                    <m:t>(531)</m:t>
                  </m:r>
                </m:num>
                <m:den>
                  <m:sSub>
                    <m:e>
                      <m:r>
                        <m:t>R</m:t>
                      </m:r>
                    </m:e>
                    <m:sub>
                      <m:r>
                        <m:t>rs</m:t>
                      </m:r>
                    </m:sub>
                  </m:sSub>
                  <m:r>
                    <m:t>(510)</m:t>
                  </m:r>
                </m:den>
              </m:f>
            </m:oMath>
          </w:p>
        </w:tc>
        <w:tc>
          <w:tcPr>
            <w:tcW w:type="dxa" w:w="590"/>
            <w:tcMar>
              <w:top w:w="0" w:type="dxa"/>
              <w:bottom w:w="0" w:type="dxa"/>
              <w:left w:w="0" w:type="dxa"/>
              <w:right w:w="0" w:type="dxa"/>
            </w:tcMar>
          </w:tcPr>
          <w:p>
            <w:pPr>
              <w:spacing w:before="24" w:after="24"/>
              <w:jc w:val="right"/>
            </w:pPr>
            <w:r>
              <w:rPr>
                <w:rFonts w:ascii="Times New Roman" w:hAnsi="Times New Roman"/>
                <w:color w:val="000000"/>
                <w:sz w:val="19"/>
              </w:rPr>
              <w:t>(5)</w:t>
            </w:r>
          </w:p>
        </w:tc>
      </w:tr>
    </w:tbl>
    <w:p>
      <w:pPr>
        <w:spacing w:before="10" w:after="40" w:line="247" w:lineRule="auto"/>
        <w:jc w:val="both"/>
      </w:pPr>
      <w:r>
        <w:rPr>
          <w:rFonts w:ascii="Times New Roman" w:hAnsi="Times New Roman"/>
          <w:color w:val="000000"/>
          <w:sz w:val="18"/>
        </w:rPr>
        <w:t xml:space="preserve">where </w:t>
      </w:r>
      <w:r>
        <w:rPr>
          <w:rFonts w:ascii="Times New Roman" w:hAnsi="Times New Roman"/>
          <w:i/>
          <w:color w:val="000000"/>
          <w:sz w:val="18"/>
        </w:rPr>
        <w:t>NRR</w:t>
      </w:r>
      <w:r>
        <w:rPr>
          <w:rFonts w:ascii="Times New Roman" w:hAnsi="Times New Roman"/>
          <w:color w:val="000000"/>
          <w:sz w:val="18"/>
        </w:rPr>
        <w:t xml:space="preserve"> is the dimensionless Noctiluca Reflectance Ratio; </w:t>
      </w:r>
      <w:r>
        <w:rPr>
          <w:rFonts w:ascii="Times New Roman" w:hAnsi="Times New Roman"/>
          <w:i/>
          <w:color w:val="000000"/>
          <w:sz w:val="18"/>
        </w:rPr>
        <w:t>R</w:t>
      </w:r>
      <w:r>
        <w:rPr>
          <w:rFonts w:ascii="Times New Roman" w:hAnsi="Times New Roman"/>
          <w:i w:val="0"/>
          <w:color w:val="000000"/>
          <w:sz w:val="18"/>
          <w:vertAlign w:val="subscript"/>
        </w:rPr>
        <w:t>rs</w:t>
      </w:r>
      <w:r>
        <w:rPr>
          <w:rFonts w:ascii="Times New Roman" w:hAnsi="Times New Roman"/>
          <w:color w:val="000000"/>
          <w:sz w:val="18"/>
        </w:rPr>
        <w:t xml:space="preserve">(531) measures the endosymbiont backscattering peak; and </w:t>
      </w:r>
      <w:r>
        <w:rPr>
          <w:rFonts w:ascii="Times New Roman" w:hAnsi="Times New Roman"/>
          <w:i/>
          <w:color w:val="000000"/>
          <w:sz w:val="18"/>
        </w:rPr>
        <w:t>R</w:t>
      </w:r>
      <w:r>
        <w:rPr>
          <w:rFonts w:ascii="Times New Roman" w:hAnsi="Times New Roman"/>
          <w:i w:val="0"/>
          <w:color w:val="000000"/>
          <w:sz w:val="18"/>
          <w:vertAlign w:val="subscript"/>
        </w:rPr>
        <w:t>rs</w:t>
      </w:r>
      <w:r>
        <w:rPr>
          <w:rFonts w:ascii="Times New Roman" w:hAnsi="Times New Roman"/>
          <w:color w:val="000000"/>
          <w:sz w:val="18"/>
        </w:rPr>
        <w:t>(510) captures carotenoid absorption [1].</w:t>
      </w:r>
    </w:p>
    <w:p>
      <w:pPr>
        <w:spacing w:before="40" w:after="20" w:line="247" w:lineRule="auto"/>
        <w:jc w:val="both"/>
      </w:pPr>
      <w:r>
        <w:rPr>
          <w:rFonts w:ascii="Times New Roman" w:hAnsi="Times New Roman"/>
          <w:b/>
          <w:i w:val="0"/>
          <w:color w:val="000000"/>
          <w:sz w:val="20"/>
        </w:rPr>
        <w:t>2. Empirical Cell Density Formulation: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147"/>
        <w:gridCol w:w="5147"/>
      </w:tblGrid>
      <w:tr>
        <w:tc>
          <w:tcPr>
            <w:tcW w:type="dxa" w:w="4435"/>
            <w:tcMar>
              <w:top w:w="0" w:type="dxa"/>
              <w:bottom w:w="0" w:type="dxa"/>
              <w:left w:w="0" w:type="dxa"/>
              <w:right w:w="0" w:type="dxa"/>
            </w:tcMar>
          </w:tcPr>
          <w:p>
            <w:pPr>
              <w:spacing w:before="24" w:after="24"/>
              <w:jc w:val="center"/>
            </w:pPr>
            <m:oMath>
              <m:sSub>
                <m:e>
                  <m:r>
                    <m:t>N</m:t>
                  </m:r>
                </m:e>
                <m:sub>
                  <m:r>
                    <m:rPr>
                      <m:nor/>
                    </m:rPr>
                    <m:t>cells</m:t>
                  </m:r>
                </m:sub>
              </m:sSub>
              <m:r>
                <m:t>=89,360−72,133×</m:t>
              </m:r>
              <m:d>
                <m:dPr>
                  <m:sepChr m:val=""/>
                </m:dPr>
                <m:e>
                  <m:f>
                    <m:fPr>
                      <m:type m:val="bar"/>
                    </m:fPr>
                    <m:num>
                      <m:sSub>
                        <m:e>
                          <m:r>
                            <m:t>R</m:t>
                          </m:r>
                        </m:e>
                        <m:sub>
                          <m:r>
                            <m:t>rs</m:t>
                          </m:r>
                        </m:sub>
                      </m:sSub>
                      <m:r>
                        <m:t>(510)</m:t>
                      </m:r>
                    </m:num>
                    <m:den>
                      <m:sSub>
                        <m:e>
                          <m:r>
                            <m:t>R</m:t>
                          </m:r>
                        </m:e>
                        <m:sub>
                          <m:r>
                            <m:t>rs</m:t>
                          </m:r>
                        </m:sub>
                      </m:sSub>
                      <m:r>
                        <m:t>(531)</m:t>
                      </m:r>
                    </m:den>
                  </m:f>
                </m:e>
              </m:d>
            </m:oMath>
          </w:p>
        </w:tc>
        <w:tc>
          <w:tcPr>
            <w:tcW w:type="dxa" w:w="590"/>
            <w:tcMar>
              <w:top w:w="0" w:type="dxa"/>
              <w:bottom w:w="0" w:type="dxa"/>
              <w:left w:w="0" w:type="dxa"/>
              <w:right w:w="0" w:type="dxa"/>
            </w:tcMar>
          </w:tcPr>
          <w:p>
            <w:pPr>
              <w:spacing w:before="24" w:after="24"/>
              <w:jc w:val="right"/>
            </w:pPr>
            <w:r>
              <w:rPr>
                <w:rFonts w:ascii="Times New Roman" w:hAnsi="Times New Roman"/>
                <w:color w:val="000000"/>
                <w:sz w:val="19"/>
              </w:rPr>
              <w:t>(6)</w:t>
            </w:r>
          </w:p>
        </w:tc>
      </w:tr>
    </w:tbl>
    <w:p>
      <w:pPr>
        <w:spacing w:before="10" w:after="40" w:line="247" w:lineRule="auto"/>
        <w:jc w:val="both"/>
      </w:pPr>
      <w:r>
        <w:rPr>
          <w:rFonts w:ascii="Times New Roman" w:hAnsi="Times New Roman"/>
          <w:color w:val="000000"/>
          <w:sz w:val="18"/>
        </w:rPr>
        <w:t xml:space="preserve">where </w:t>
      </w:r>
      <w:r>
        <w:rPr>
          <w:rFonts w:ascii="Times New Roman" w:hAnsi="Times New Roman"/>
          <w:i/>
          <w:color w:val="000000"/>
          <w:sz w:val="18"/>
        </w:rPr>
        <w:t>N</w:t>
      </w:r>
      <w:r>
        <w:rPr>
          <w:rFonts w:ascii="Times New Roman" w:hAnsi="Times New Roman"/>
          <w:i/>
          <w:color w:val="000000"/>
          <w:sz w:val="18"/>
          <w:vertAlign w:val="subscript"/>
        </w:rPr>
        <w:t>cells</w:t>
      </w:r>
      <w:r>
        <w:rPr>
          <w:rFonts w:ascii="Times New Roman" w:hAnsi="Times New Roman"/>
          <w:color w:val="000000"/>
          <w:sz w:val="18"/>
        </w:rPr>
        <w:t xml:space="preserve"> is the estimated green Noctiluca cell density (in cells L⁻¹); 89,360 and 72,133 are calibration coefficients; and </w:t>
      </w:r>
      <w:r>
        <w:rPr>
          <w:rFonts w:ascii="Times New Roman" w:hAnsi="Times New Roman"/>
          <w:i/>
          <w:color w:val="000000"/>
          <w:sz w:val="18"/>
        </w:rPr>
        <w:t>R</w:t>
      </w:r>
      <w:r>
        <w:rPr>
          <w:rFonts w:ascii="Times New Roman" w:hAnsi="Times New Roman"/>
          <w:i w:val="0"/>
          <w:color w:val="000000"/>
          <w:sz w:val="18"/>
          <w:vertAlign w:val="subscript"/>
        </w:rPr>
        <w:t>rs</w:t>
      </w:r>
      <w:r>
        <w:rPr>
          <w:rFonts w:ascii="Times New Roman" w:hAnsi="Times New Roman"/>
          <w:color w:val="000000"/>
          <w:sz w:val="18"/>
        </w:rPr>
        <w:t xml:space="preserve">(510) / </w:t>
      </w:r>
      <w:r>
        <w:rPr>
          <w:rFonts w:ascii="Times New Roman" w:hAnsi="Times New Roman"/>
          <w:i/>
          <w:color w:val="000000"/>
          <w:sz w:val="18"/>
        </w:rPr>
        <w:t>R</w:t>
      </w:r>
      <w:r>
        <w:rPr>
          <w:rFonts w:ascii="Times New Roman" w:hAnsi="Times New Roman"/>
          <w:i w:val="0"/>
          <w:color w:val="000000"/>
          <w:sz w:val="18"/>
          <w:vertAlign w:val="subscript"/>
        </w:rPr>
        <w:t>rs</w:t>
      </w:r>
      <w:r>
        <w:rPr>
          <w:rFonts w:ascii="Times New Roman" w:hAnsi="Times New Roman"/>
          <w:color w:val="000000"/>
          <w:sz w:val="18"/>
        </w:rPr>
        <w:t>(531) is the inverse band ratio, verified for cell counts above 6,800 cells L⁻¹ in the northern Arabian Sea [1].</w:t>
      </w:r>
    </w:p>
    <w:p>
      <w:pPr>
        <w:sectPr>
          <w:type w:val="continuous"/>
          <w:pgSz w:w="11906" w:h="16838"/>
          <w:pgMar w:top="1080" w:right="806" w:bottom="1440" w:left="806" w:header="720" w:footer="720" w:gutter="0"/>
          <w:cols w:space="316" w:num="2"/>
          <w:docGrid w:linePitch="360"/>
        </w:sectPr>
      </w:pPr>
    </w:p>
    <w:p>
      <w:pPr>
        <w:keepNext/>
        <w:spacing w:before="80" w:after="40"/>
        <w:jc w:val="center"/>
      </w:pPr>
      <w:r>
        <w:rPr>
          <w:rFonts w:ascii="Times New Roman" w:hAnsi="Times New Roman"/>
          <w:color w:val="000000"/>
        </w:rPr>
        <w:drawing>
          <wp:inline xmlns:a="http://schemas.openxmlformats.org/drawingml/2006/main" xmlns:pic="http://schemas.openxmlformats.org/drawingml/2006/picture">
            <wp:extent cx="6537960" cy="2921736"/>
            <wp:docPr id="1" name="Picture 1"/>
            <wp:cNvGraphicFramePr>
              <a:graphicFrameLocks noChangeAspect="1"/>
            </wp:cNvGraphicFramePr>
            <a:graphic>
              <a:graphicData uri="http://schemas.openxmlformats.org/drawingml/2006/picture">
                <pic:pic>
                  <pic:nvPicPr>
                    <pic:cNvPr id="0" name="pipeline_architecture.png"/>
                    <pic:cNvPicPr/>
                  </pic:nvPicPr>
                  <pic:blipFill>
                    <a:blip r:embed="rId9"/>
                    <a:stretch>
                      <a:fillRect/>
                    </a:stretch>
                  </pic:blipFill>
                  <pic:spPr>
                    <a:xfrm>
                      <a:off x="0" y="0"/>
                      <a:ext cx="6537960" cy="2921736"/>
                    </a:xfrm>
                    <a:prstGeom prst="rect"/>
                  </pic:spPr>
                </pic:pic>
              </a:graphicData>
            </a:graphic>
          </wp:inline>
        </w:drawing>
      </w:r>
    </w:p>
    <w:p>
      <w:pPr>
        <w:spacing w:before="40" w:after="80"/>
        <w:jc w:val="center"/>
      </w:pPr>
      <w:r>
        <w:rPr>
          <w:rFonts w:ascii="Times New Roman" w:hAnsi="Times New Roman"/>
          <w:i/>
          <w:color w:val="000000"/>
          <w:sz w:val="18"/>
        </w:rPr>
        <w:t>Fig. 1. End-to-end architecture of the integrated bio-optical and multivariate reanalysis pipeline.</w:t>
      </w:r>
    </w:p>
    <w:p>
      <w:pPr>
        <w:sectPr>
          <w:type w:val="continuous"/>
          <w:pgSz w:w="11906" w:h="16838"/>
          <w:pgMar w:top="1080" w:right="806" w:bottom="1440" w:left="806" w:header="720" w:footer="720" w:gutter="0"/>
          <w:cols w:space="316" w:num="1"/>
          <w:docGrid w:linePitch="360"/>
        </w:sectPr>
      </w:pPr>
    </w:p>
    <w:p>
      <w:pPr>
        <w:keepNext/>
        <w:spacing w:before="90" w:after="24"/>
        <w:jc w:val="left"/>
      </w:pPr>
      <w:r>
        <w:rPr>
          <w:rFonts w:ascii="Times New Roman" w:hAnsi="Times New Roman"/>
          <w:b/>
          <w:i/>
          <w:color w:val="000000"/>
          <w:sz w:val="20"/>
        </w:rPr>
        <w:t>D. Stage 4: Multivariate Autoregressive Trend Modeling</w:t>
      </w:r>
    </w:p>
    <w:p>
      <w:pPr>
        <w:spacing w:before="0" w:after="44" w:line="247" w:lineRule="auto"/>
        <w:jc w:val="both"/>
      </w:pPr>
      <w:r>
        <w:rPr>
          <w:rFonts w:ascii="Times New Roman" w:hAnsi="Times New Roman"/>
          <w:b w:val="0"/>
          <w:i w:val="0"/>
          <w:color w:val="000000"/>
          <w:sz w:val="20"/>
        </w:rPr>
        <w:t>To check whether recent bloom occurrences represent real long-term climate trends or just normal decadal variations, we apply multivariate linear regression to the 20-year satellite dataset following Cael et al. [5] and Hammond et al. [8].</w:t>
      </w:r>
    </w:p>
    <w:p>
      <w:pPr>
        <w:spacing w:before="0" w:after="44" w:line="247" w:lineRule="auto"/>
        <w:jc w:val="both"/>
      </w:pPr>
      <w:r>
        <w:rPr>
          <w:rFonts w:ascii="Times New Roman" w:hAnsi="Times New Roman"/>
          <w:b w:val="0"/>
          <w:i w:val="0"/>
          <w:color w:val="000000"/>
          <w:sz w:val="20"/>
        </w:rPr>
        <w:t>For every grid cell, the annual median reflectance vector across seven visible bands (</w:t>
      </w:r>
      <w:r>
        <w:rPr>
          <w:rFonts w:ascii="Times New Roman" w:hAnsi="Times New Roman"/>
          <w:i/>
          <w:color w:val="000000"/>
          <w:sz w:val="20"/>
        </w:rPr>
        <w:t>Y</w:t>
      </w:r>
      <w:r>
        <w:rPr>
          <w:rFonts w:ascii="Times New Roman" w:hAnsi="Times New Roman"/>
          <w:i/>
          <w:color w:val="000000"/>
          <w:sz w:val="20"/>
          <w:vertAlign w:val="subscript"/>
        </w:rPr>
        <w:t>t</w:t>
      </w:r>
      <w:r>
        <w:rPr>
          <w:rFonts w:ascii="Times New Roman" w:hAnsi="Times New Roman"/>
          <w:b w:val="0"/>
          <w:i w:val="0"/>
          <w:color w:val="000000"/>
          <w:sz w:val="20"/>
        </w:rPr>
        <w:t xml:space="preserve"> =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 xml:space="preserve">(412), ...,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(678)]</w:t>
      </w:r>
      <w:r>
        <w:rPr>
          <w:rFonts w:ascii="Times New Roman" w:hAnsi="Times New Roman"/>
          <w:i/>
          <w:color w:val="000000"/>
          <w:sz w:val="20"/>
          <w:vertAlign w:val="subscript"/>
        </w:rPr>
        <w:t>t</w:t>
      </w:r>
      <w:r>
        <w:rPr>
          <w:rFonts w:ascii="Times New Roman" w:hAnsi="Times New Roman"/>
          <w:b w:val="0"/>
          <w:i w:val="0"/>
          <w:color w:val="000000"/>
          <w:sz w:val="20"/>
        </w:rPr>
        <w:t xml:space="preserve">) is modeled as a linear function of time </w:t>
      </w:r>
      <w:r>
        <w:rPr>
          <w:rFonts w:ascii="Times New Roman" w:hAnsi="Times New Roman"/>
          <w:i/>
          <w:color w:val="000000"/>
          <w:sz w:val="20"/>
        </w:rPr>
        <w:t>t</w:t>
      </w:r>
      <w:r>
        <w:rPr>
          <w:rFonts w:ascii="Times New Roman" w:hAnsi="Times New Roman"/>
          <w:b w:val="0"/>
          <w:i w:val="0"/>
          <w:color w:val="000000"/>
          <w:sz w:val="20"/>
        </w:rPr>
        <w:t xml:space="preserve"> [5]: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147"/>
        <w:gridCol w:w="5147"/>
      </w:tblGrid>
      <w:tr>
        <w:tc>
          <w:tcPr>
            <w:tcW w:type="dxa" w:w="4435"/>
            <w:tcMar>
              <w:top w:w="0" w:type="dxa"/>
              <w:bottom w:w="0" w:type="dxa"/>
              <w:left w:w="0" w:type="dxa"/>
              <w:right w:w="0" w:type="dxa"/>
            </w:tcMar>
          </w:tcPr>
          <w:p>
            <w:pPr>
              <w:spacing w:before="24" w:after="24"/>
              <w:jc w:val="center"/>
            </w:pPr>
            <m:oMath>
              <m:sSub>
                <m:e>
                  <m:limUpp>
                    <m:e>
                      <m:r>
                        <m:t>Y</m:t>
                      </m:r>
                    </m:e>
                    <m:lim>
                      <m:r>
                        <m:t>→</m:t>
                      </m:r>
                    </m:lim>
                  </m:limUpp>
                </m:e>
                <m:sub>
                  <m:r>
                    <m:t>t</m:t>
                  </m:r>
                </m:sub>
              </m:sSub>
              <m:r>
                <m:t>=</m:t>
              </m:r>
              <m:limUpp>
                <m:e>
                  <m:r>
                    <m:t>μ</m:t>
                  </m:r>
                </m:e>
                <m:lim>
                  <m:r>
                    <m:t>→</m:t>
                  </m:r>
                </m:lim>
              </m:limUpp>
              <m:r>
                <m:t>+</m:t>
              </m:r>
              <m:limUpp>
                <m:e>
                  <m:r>
                    <m:t>β</m:t>
                  </m:r>
                </m:e>
                <m:lim>
                  <m:r>
                    <m:t>→</m:t>
                  </m:r>
                </m:lim>
              </m:limUpp>
              <m:r>
                <m:t>t+</m:t>
              </m:r>
              <m:sSub>
                <m:e>
                  <m:limUpp>
                    <m:e>
                      <m:r>
                        <m:t>N</m:t>
                      </m:r>
                    </m:e>
                    <m:lim>
                      <m:r>
                        <m:t>→</m:t>
                      </m:r>
                    </m:lim>
                  </m:limUpp>
                </m:e>
                <m:sub>
                  <m:r>
                    <m:t>t</m:t>
                  </m:r>
                </m:sub>
              </m:sSub>
            </m:oMath>
          </w:p>
        </w:tc>
        <w:tc>
          <w:tcPr>
            <w:tcW w:type="dxa" w:w="590"/>
            <w:tcMar>
              <w:top w:w="0" w:type="dxa"/>
              <w:bottom w:w="0" w:type="dxa"/>
              <w:left w:w="0" w:type="dxa"/>
              <w:right w:w="0" w:type="dxa"/>
            </w:tcMar>
          </w:tcPr>
          <w:p>
            <w:pPr>
              <w:spacing w:before="24" w:after="24"/>
              <w:jc w:val="right"/>
            </w:pPr>
            <w:r>
              <w:rPr>
                <w:rFonts w:ascii="Times New Roman" w:hAnsi="Times New Roman"/>
                <w:color w:val="000000"/>
                <w:sz w:val="19"/>
              </w:rPr>
              <w:t>(7)</w:t>
            </w:r>
          </w:p>
        </w:tc>
      </w:tr>
    </w:tbl>
    <w:p>
      <w:pPr>
        <w:spacing w:before="10" w:after="40" w:line="247" w:lineRule="auto"/>
        <w:jc w:val="both"/>
      </w:pPr>
      <w:r>
        <w:rPr>
          <w:rFonts w:ascii="Times New Roman" w:hAnsi="Times New Roman"/>
          <w:color w:val="000000"/>
          <w:sz w:val="18"/>
        </w:rPr>
        <w:t xml:space="preserve">where </w:t>
      </w:r>
      <w:r>
        <w:rPr>
          <w:rFonts w:ascii="Times New Roman" w:hAnsi="Times New Roman"/>
          <w:i/>
          <w:color w:val="000000"/>
          <w:sz w:val="18"/>
        </w:rPr>
        <w:t>Y</w:t>
      </w:r>
      <w:r>
        <w:rPr>
          <w:rFonts w:ascii="Times New Roman" w:hAnsi="Times New Roman"/>
          <w:i/>
          <w:color w:val="000000"/>
          <w:sz w:val="18"/>
          <w:vertAlign w:val="subscript"/>
        </w:rPr>
        <w:t>t</w:t>
      </w:r>
      <w:r>
        <w:rPr>
          <w:rFonts w:ascii="Times New Roman" w:hAnsi="Times New Roman"/>
          <w:color w:val="000000"/>
          <w:sz w:val="18"/>
        </w:rPr>
        <w:t xml:space="preserve"> is the annual median remote sensing reflectance vector across the seven visible bands in year </w:t>
      </w:r>
      <w:r>
        <w:rPr>
          <w:rFonts w:ascii="Times New Roman" w:hAnsi="Times New Roman"/>
          <w:i/>
          <w:color w:val="000000"/>
          <w:sz w:val="18"/>
        </w:rPr>
        <w:t>t</w:t>
      </w:r>
      <w:r>
        <w:rPr>
          <w:rFonts w:ascii="Times New Roman" w:hAnsi="Times New Roman"/>
          <w:color w:val="000000"/>
          <w:sz w:val="18"/>
        </w:rPr>
        <w:t xml:space="preserve">; </w:t>
      </w:r>
      <w:r>
        <w:rPr>
          <w:rFonts w:ascii="Times New Roman" w:hAnsi="Times New Roman"/>
          <w:i/>
          <w:color w:val="000000"/>
          <w:sz w:val="18"/>
        </w:rPr>
        <w:t>μ</w:t>
      </w:r>
      <w:r>
        <w:rPr>
          <w:rFonts w:ascii="Times New Roman" w:hAnsi="Times New Roman"/>
          <w:color w:val="000000"/>
          <w:sz w:val="18"/>
        </w:rPr>
        <w:t xml:space="preserve"> is the baseline intercept vector; </w:t>
      </w:r>
      <w:r>
        <w:rPr>
          <w:rFonts w:ascii="Times New Roman" w:hAnsi="Times New Roman"/>
          <w:i/>
          <w:color w:val="000000"/>
          <w:sz w:val="18"/>
        </w:rPr>
        <w:t>β</w:t>
      </w:r>
      <w:r>
        <w:rPr>
          <w:rFonts w:ascii="Times New Roman" w:hAnsi="Times New Roman"/>
          <w:color w:val="000000"/>
          <w:sz w:val="18"/>
        </w:rPr>
        <w:t xml:space="preserve"> is the trend slope vector (sr⁻¹ yr⁻¹); </w:t>
      </w:r>
      <w:r>
        <w:rPr>
          <w:rFonts w:ascii="Times New Roman" w:hAnsi="Times New Roman"/>
          <w:i/>
          <w:color w:val="000000"/>
          <w:sz w:val="18"/>
        </w:rPr>
        <w:t>t</w:t>
      </w:r>
      <w:r>
        <w:rPr>
          <w:rFonts w:ascii="Times New Roman" w:hAnsi="Times New Roman"/>
          <w:color w:val="000000"/>
          <w:sz w:val="18"/>
        </w:rPr>
        <w:t xml:space="preserve"> is time in years; and </w:t>
      </w:r>
      <w:r>
        <w:rPr>
          <w:rFonts w:ascii="Times New Roman" w:hAnsi="Times New Roman"/>
          <w:i/>
          <w:color w:val="000000"/>
          <w:sz w:val="18"/>
        </w:rPr>
        <w:t>N</w:t>
      </w:r>
      <w:r>
        <w:rPr>
          <w:rFonts w:ascii="Times New Roman" w:hAnsi="Times New Roman"/>
          <w:i/>
          <w:color w:val="000000"/>
          <w:sz w:val="18"/>
          <w:vertAlign w:val="subscript"/>
        </w:rPr>
        <w:t>t</w:t>
      </w:r>
      <w:r>
        <w:rPr>
          <w:rFonts w:ascii="Times New Roman" w:hAnsi="Times New Roman"/>
          <w:color w:val="000000"/>
          <w:sz w:val="18"/>
        </w:rPr>
        <w:t xml:space="preserve"> is the noise vector representing environmental variations [5].</w:t>
      </w:r>
    </w:p>
    <w:p>
      <w:pPr>
        <w:spacing w:before="0" w:after="44" w:line="247" w:lineRule="auto"/>
        <w:jc w:val="both"/>
      </w:pPr>
      <w:r>
        <w:rPr>
          <w:rFonts w:ascii="Times New Roman" w:hAnsi="Times New Roman"/>
          <w:b w:val="0"/>
          <w:i w:val="0"/>
          <w:color w:val="000000"/>
          <w:sz w:val="20"/>
        </w:rPr>
        <w:t xml:space="preserve">In ocean time series, the noise vector </w:t>
      </w:r>
      <w:r>
        <w:rPr>
          <w:rFonts w:ascii="Times New Roman" w:hAnsi="Times New Roman"/>
          <w:i/>
          <w:color w:val="000000"/>
          <w:sz w:val="20"/>
        </w:rPr>
        <w:t>N</w:t>
      </w:r>
      <w:r>
        <w:rPr>
          <w:rFonts w:ascii="Times New Roman" w:hAnsi="Times New Roman"/>
          <w:i/>
          <w:color w:val="000000"/>
          <w:sz w:val="20"/>
          <w:vertAlign w:val="subscript"/>
        </w:rPr>
        <w:t>t</w:t>
      </w:r>
      <w:r>
        <w:rPr>
          <w:rFonts w:ascii="Times New Roman" w:hAnsi="Times New Roman"/>
          <w:b w:val="0"/>
          <w:i w:val="0"/>
          <w:color w:val="000000"/>
          <w:sz w:val="20"/>
        </w:rPr>
        <w:t xml:space="preserve"> contains first-order autoregressive red noise (AR(1)), meaning each year's error is correlated with the previous year: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147"/>
        <w:gridCol w:w="5147"/>
      </w:tblGrid>
      <w:tr>
        <w:tc>
          <w:tcPr>
            <w:tcW w:type="dxa" w:w="4435"/>
            <w:tcMar>
              <w:top w:w="0" w:type="dxa"/>
              <w:bottom w:w="0" w:type="dxa"/>
              <w:left w:w="0" w:type="dxa"/>
              <w:right w:w="0" w:type="dxa"/>
            </w:tcMar>
          </w:tcPr>
          <w:p>
            <w:pPr>
              <w:spacing w:before="24" w:after="24"/>
              <w:jc w:val="center"/>
            </w:pPr>
            <m:oMath>
              <m:sSub>
                <m:e>
                  <m:limUpp>
                    <m:e>
                      <m:r>
                        <m:t>N</m:t>
                      </m:r>
                    </m:e>
                    <m:lim>
                      <m:r>
                        <m:t>→</m:t>
                      </m:r>
                    </m:lim>
                  </m:limUpp>
                </m:e>
                <m:sub>
                  <m:r>
                    <m:t>t</m:t>
                  </m:r>
                </m:sub>
              </m:sSub>
              <m:r>
                <m:t>=</m:t>
              </m:r>
              <m:r>
                <m:rPr>
                  <m:sty m:val="b"/>
                </m:rPr>
                <m:t>Φ</m:t>
              </m:r>
              <m:sSub>
                <m:e>
                  <m:limUpp>
                    <m:e>
                      <m:r>
                        <m:t>N</m:t>
                      </m:r>
                    </m:e>
                    <m:lim>
                      <m:r>
                        <m:t>→</m:t>
                      </m:r>
                    </m:lim>
                  </m:limUpp>
                </m:e>
                <m:sub>
                  <m:r>
                    <m:t>t−1</m:t>
                  </m:r>
                </m:sub>
              </m:sSub>
              <m:r>
                <m:t>+</m:t>
              </m:r>
              <m:sSub>
                <m:e>
                  <m:limUpp>
                    <m:e>
                      <m:r>
                        <m:t>ϵ</m:t>
                      </m:r>
                    </m:e>
                    <m:lim>
                      <m:r>
                        <m:t>→</m:t>
                      </m:r>
                    </m:lim>
                  </m:limUpp>
                </m:e>
                <m:sub>
                  <m:r>
                    <m:t>t</m:t>
                  </m:r>
                </m:sub>
              </m:sSub>
            </m:oMath>
          </w:p>
        </w:tc>
        <w:tc>
          <w:tcPr>
            <w:tcW w:type="dxa" w:w="590"/>
            <w:tcMar>
              <w:top w:w="0" w:type="dxa"/>
              <w:bottom w:w="0" w:type="dxa"/>
              <w:left w:w="0" w:type="dxa"/>
              <w:right w:w="0" w:type="dxa"/>
            </w:tcMar>
          </w:tcPr>
          <w:p>
            <w:pPr>
              <w:spacing w:before="24" w:after="24"/>
              <w:jc w:val="right"/>
            </w:pPr>
            <w:r>
              <w:rPr>
                <w:rFonts w:ascii="Times New Roman" w:hAnsi="Times New Roman"/>
                <w:color w:val="000000"/>
                <w:sz w:val="19"/>
              </w:rPr>
              <w:t>(8)</w:t>
            </w:r>
          </w:p>
        </w:tc>
      </w:tr>
    </w:tbl>
    <w:p>
      <w:pPr>
        <w:spacing w:before="10" w:after="40" w:line="247" w:lineRule="auto"/>
        <w:jc w:val="both"/>
      </w:pPr>
      <w:r>
        <w:rPr>
          <w:rFonts w:ascii="Times New Roman" w:hAnsi="Times New Roman"/>
          <w:color w:val="000000"/>
          <w:sz w:val="18"/>
        </w:rPr>
        <w:t xml:space="preserve">where </w:t>
      </w:r>
      <w:r>
        <w:rPr>
          <w:rFonts w:ascii="Times New Roman" w:hAnsi="Times New Roman"/>
          <w:i/>
          <w:color w:val="000000"/>
          <w:sz w:val="18"/>
        </w:rPr>
        <w:t>N</w:t>
      </w:r>
      <w:r>
        <w:rPr>
          <w:rFonts w:ascii="Times New Roman" w:hAnsi="Times New Roman"/>
          <w:i/>
          <w:color w:val="000000"/>
          <w:sz w:val="18"/>
          <w:vertAlign w:val="subscript"/>
        </w:rPr>
        <w:t>t</w:t>
      </w:r>
      <w:r>
        <w:rPr>
          <w:rFonts w:ascii="Times New Roman" w:hAnsi="Times New Roman"/>
          <w:color w:val="000000"/>
          <w:sz w:val="18"/>
        </w:rPr>
        <w:t xml:space="preserve"> is the noise vector in year </w:t>
      </w:r>
      <w:r>
        <w:rPr>
          <w:rFonts w:ascii="Times New Roman" w:hAnsi="Times New Roman"/>
          <w:i/>
          <w:color w:val="000000"/>
          <w:sz w:val="18"/>
        </w:rPr>
        <w:t>t</w:t>
      </w:r>
      <w:r>
        <w:rPr>
          <w:rFonts w:ascii="Times New Roman" w:hAnsi="Times New Roman"/>
          <w:color w:val="000000"/>
          <w:sz w:val="18"/>
        </w:rPr>
        <w:t xml:space="preserve">; </w:t>
      </w:r>
      <w:r>
        <w:rPr>
          <w:rFonts w:ascii="Times New Roman" w:hAnsi="Times New Roman"/>
          <w:b/>
          <w:i w:val="0"/>
          <w:color w:val="000000"/>
          <w:sz w:val="18"/>
        </w:rPr>
        <w:t>Φ</w:t>
      </w:r>
      <w:r>
        <w:rPr>
          <w:rFonts w:ascii="Times New Roman" w:hAnsi="Times New Roman"/>
          <w:color w:val="000000"/>
          <w:sz w:val="18"/>
        </w:rPr>
        <w:t xml:space="preserve"> is the lag-1 autocorrelation matrix; </w:t>
      </w:r>
      <w:r>
        <w:rPr>
          <w:rFonts w:ascii="Times New Roman" w:hAnsi="Times New Roman"/>
          <w:i/>
          <w:color w:val="000000"/>
          <w:sz w:val="18"/>
        </w:rPr>
        <w:t>N</w:t>
      </w:r>
      <w:r>
        <w:rPr>
          <w:rFonts w:ascii="Times New Roman" w:hAnsi="Times New Roman"/>
          <w:i/>
          <w:color w:val="000000"/>
          <w:sz w:val="18"/>
          <w:vertAlign w:val="subscript"/>
        </w:rPr>
        <w:t>t-1</w:t>
      </w:r>
      <w:r>
        <w:rPr>
          <w:rFonts w:ascii="Times New Roman" w:hAnsi="Times New Roman"/>
          <w:color w:val="000000"/>
          <w:sz w:val="18"/>
        </w:rPr>
        <w:t xml:space="preserve"> is the noise vector from the previous year; and </w:t>
      </w:r>
      <w:r>
        <w:rPr>
          <w:rFonts w:ascii="Times New Roman" w:hAnsi="Times New Roman"/>
          <w:i/>
          <w:color w:val="000000"/>
          <w:sz w:val="18"/>
        </w:rPr>
        <w:t>ε</w:t>
      </w:r>
      <w:r>
        <w:rPr>
          <w:rFonts w:ascii="Times New Roman" w:hAnsi="Times New Roman"/>
          <w:i/>
          <w:color w:val="000000"/>
          <w:sz w:val="18"/>
          <w:vertAlign w:val="subscript"/>
        </w:rPr>
        <w:t>t</w:t>
      </w:r>
      <w:r>
        <w:rPr>
          <w:rFonts w:ascii="Times New Roman" w:hAnsi="Times New Roman"/>
          <w:color w:val="000000"/>
          <w:sz w:val="18"/>
        </w:rPr>
        <w:t xml:space="preserve"> is uncorrelated Gaussian white noise [5], [8].</w:t>
      </w:r>
    </w:p>
    <w:p>
      <w:pPr>
        <w:spacing w:before="0" w:after="44" w:line="247" w:lineRule="auto"/>
        <w:jc w:val="both"/>
      </w:pPr>
      <w:r>
        <w:rPr>
          <w:rFonts w:ascii="Times New Roman" w:hAnsi="Times New Roman"/>
          <w:b w:val="0"/>
          <w:i w:val="0"/>
          <w:color w:val="000000"/>
          <w:sz w:val="20"/>
        </w:rPr>
        <w:t xml:space="preserve">We use the Cochrane-Orcutt iterative method to estimate </w:t>
      </w:r>
      <w:r>
        <w:rPr>
          <w:rFonts w:ascii="Times New Roman" w:hAnsi="Times New Roman"/>
          <w:b/>
          <w:i w:val="0"/>
          <w:color w:val="000000"/>
          <w:sz w:val="20"/>
        </w:rPr>
        <w:t>Φ</w:t>
      </w:r>
      <w:r>
        <w:rPr>
          <w:rFonts w:ascii="Times New Roman" w:hAnsi="Times New Roman"/>
          <w:b w:val="0"/>
          <w:i w:val="0"/>
          <w:color w:val="000000"/>
          <w:sz w:val="20"/>
        </w:rPr>
        <w:t xml:space="preserve"> and transform the time series variables, removing autocorrelation: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147"/>
        <w:gridCol w:w="5147"/>
      </w:tblGrid>
      <w:tr>
        <w:tc>
          <w:tcPr>
            <w:tcW w:type="dxa" w:w="4435"/>
            <w:tcMar>
              <w:top w:w="0" w:type="dxa"/>
              <w:bottom w:w="0" w:type="dxa"/>
              <w:left w:w="0" w:type="dxa"/>
              <w:right w:w="0" w:type="dxa"/>
            </w:tcMar>
          </w:tcPr>
          <w:p>
            <w:pPr>
              <w:spacing w:before="24" w:after="24"/>
              <w:jc w:val="center"/>
            </w:pPr>
            <m:oMath>
              <m:sSubSup>
                <m:e>
                  <m:limUpp>
                    <m:e>
                      <m:r>
                        <m:t>Y</m:t>
                      </m:r>
                    </m:e>
                    <m:lim>
                      <m:r>
                        <m:t>→</m:t>
                      </m:r>
                    </m:lim>
                  </m:limUpp>
                </m:e>
                <m:sub>
                  <m:r>
                    <m:t>t</m:t>
                  </m:r>
                </m:sub>
                <m:sup>
                  <m:r>
                    <m:t>*</m:t>
                  </m:r>
                </m:sup>
              </m:sSubSup>
              <m:r>
                <m:t>=</m:t>
              </m:r>
              <m:sSub>
                <m:e>
                  <m:limUpp>
                    <m:e>
                      <m:r>
                        <m:t>Y</m:t>
                      </m:r>
                    </m:e>
                    <m:lim>
                      <m:r>
                        <m:t>→</m:t>
                      </m:r>
                    </m:lim>
                  </m:limUpp>
                </m:e>
                <m:sub>
                  <m:r>
                    <m:t>t</m:t>
                  </m:r>
                </m:sub>
              </m:sSub>
              <m:r>
                <m:t>−</m:t>
              </m:r>
              <m:r>
                <m:rPr>
                  <m:sty m:val="b"/>
                </m:rPr>
                <m:t>Φ</m:t>
              </m:r>
              <m:sSub>
                <m:e>
                  <m:limUpp>
                    <m:e>
                      <m:r>
                        <m:t>Y</m:t>
                      </m:r>
                    </m:e>
                    <m:lim>
                      <m:r>
                        <m:t>→</m:t>
                      </m:r>
                    </m:lim>
                  </m:limUpp>
                </m:e>
                <m:sub>
                  <m:r>
                    <m:t>t−1</m:t>
                  </m:r>
                </m:sub>
              </m:sSub>
              <m:r>
                <m:t>,</m:t>
              </m:r>
              <m:sSup>
                <m:e>
                  <m:r>
                    <m:t>t</m:t>
                  </m:r>
                </m:e>
                <m:sup>
                  <m:r>
                    <m:t>*</m:t>
                  </m:r>
                </m:sup>
              </m:sSup>
              <m:r>
                <m:t>=t−</m:t>
              </m:r>
              <m:r>
                <m:rPr>
                  <m:sty m:val="b"/>
                </m:rPr>
                <m:t>Φ</m:t>
              </m:r>
              <m:sSub>
                <m:e>
                  <m:r>
                    <m:t>t</m:t>
                  </m:r>
                </m:e>
                <m:sub>
                  <m:r>
                    <m:t>−1</m:t>
                  </m:r>
                </m:sub>
              </m:sSub>
            </m:oMath>
          </w:p>
        </w:tc>
        <w:tc>
          <w:tcPr>
            <w:tcW w:type="dxa" w:w="590"/>
            <w:tcMar>
              <w:top w:w="0" w:type="dxa"/>
              <w:bottom w:w="0" w:type="dxa"/>
              <w:left w:w="0" w:type="dxa"/>
              <w:right w:w="0" w:type="dxa"/>
            </w:tcMar>
          </w:tcPr>
          <w:p>
            <w:pPr>
              <w:spacing w:before="24" w:after="24"/>
              <w:jc w:val="right"/>
            </w:pPr>
            <w:r>
              <w:rPr>
                <w:rFonts w:ascii="Times New Roman" w:hAnsi="Times New Roman"/>
                <w:color w:val="000000"/>
                <w:sz w:val="19"/>
              </w:rPr>
              <w:t>(9)</w:t>
            </w:r>
          </w:p>
        </w:tc>
      </w:tr>
    </w:tbl>
    <w:p>
      <w:pPr>
        <w:spacing w:before="10" w:after="40" w:line="247" w:lineRule="auto"/>
        <w:jc w:val="both"/>
      </w:pPr>
      <w:r>
        <w:rPr>
          <w:rFonts w:ascii="Times New Roman" w:hAnsi="Times New Roman"/>
          <w:color w:val="000000"/>
          <w:sz w:val="18"/>
        </w:rPr>
        <w:t xml:space="preserve">where </w:t>
      </w:r>
      <w:r>
        <w:rPr>
          <w:rFonts w:ascii="Times New Roman" w:hAnsi="Times New Roman"/>
          <w:i/>
          <w:color w:val="000000"/>
          <w:sz w:val="18"/>
        </w:rPr>
        <w:t>Y</w:t>
      </w:r>
      <w:r>
        <w:rPr>
          <w:rFonts w:ascii="Times New Roman" w:hAnsi="Times New Roman"/>
          <w:i/>
          <w:color w:val="000000"/>
          <w:sz w:val="18"/>
          <w:vertAlign w:val="subscript"/>
        </w:rPr>
        <w:t>t</w:t>
      </w:r>
      <w:r>
        <w:rPr>
          <w:rFonts w:ascii="Times New Roman" w:hAnsi="Times New Roman"/>
          <w:i w:val="0"/>
          <w:color w:val="000000"/>
          <w:sz w:val="18"/>
          <w:vertAlign w:val="superscript"/>
        </w:rPr>
        <w:t>*</w:t>
      </w:r>
      <w:r>
        <w:rPr>
          <w:rFonts w:ascii="Times New Roman" w:hAnsi="Times New Roman"/>
          <w:color w:val="000000"/>
          <w:sz w:val="18"/>
        </w:rPr>
        <w:t xml:space="preserve"> is the transformed reflectance vector with autocorrelation removed; </w:t>
      </w:r>
      <w:r>
        <w:rPr>
          <w:rFonts w:ascii="Times New Roman" w:hAnsi="Times New Roman"/>
          <w:i/>
          <w:color w:val="000000"/>
          <w:sz w:val="18"/>
        </w:rPr>
        <w:t>t</w:t>
      </w:r>
      <w:r>
        <w:rPr>
          <w:rFonts w:ascii="Times New Roman" w:hAnsi="Times New Roman"/>
          <w:i w:val="0"/>
          <w:color w:val="000000"/>
          <w:sz w:val="18"/>
          <w:vertAlign w:val="superscript"/>
        </w:rPr>
        <w:t>*</w:t>
      </w:r>
      <w:r>
        <w:rPr>
          <w:rFonts w:ascii="Times New Roman" w:hAnsi="Times New Roman"/>
          <w:color w:val="000000"/>
          <w:sz w:val="18"/>
        </w:rPr>
        <w:t xml:space="preserve"> is the transformed time variable; </w:t>
      </w:r>
      <w:r>
        <w:rPr>
          <w:rFonts w:ascii="Times New Roman" w:hAnsi="Times New Roman"/>
          <w:b/>
          <w:i w:val="0"/>
          <w:color w:val="000000"/>
          <w:sz w:val="18"/>
        </w:rPr>
        <w:t>Φ</w:t>
      </w:r>
      <w:r>
        <w:rPr>
          <w:rFonts w:ascii="Times New Roman" w:hAnsi="Times New Roman"/>
          <w:color w:val="000000"/>
          <w:sz w:val="18"/>
        </w:rPr>
        <w:t xml:space="preserve"> is the estimated lag-1 autocorrelation matrix; and </w:t>
      </w:r>
      <w:r>
        <w:rPr>
          <w:rFonts w:ascii="Times New Roman" w:hAnsi="Times New Roman"/>
          <w:i/>
          <w:color w:val="000000"/>
          <w:sz w:val="18"/>
        </w:rPr>
        <w:t>Y</w:t>
      </w:r>
      <w:r>
        <w:rPr>
          <w:rFonts w:ascii="Times New Roman" w:hAnsi="Times New Roman"/>
          <w:i/>
          <w:color w:val="000000"/>
          <w:sz w:val="18"/>
          <w:vertAlign w:val="subscript"/>
        </w:rPr>
        <w:t>t-1</w:t>
      </w:r>
      <w:r>
        <w:rPr>
          <w:rFonts w:ascii="Times New Roman" w:hAnsi="Times New Roman"/>
          <w:color w:val="000000"/>
          <w:sz w:val="18"/>
        </w:rPr>
        <w:t xml:space="preserve"> and </w:t>
      </w:r>
      <w:r>
        <w:rPr>
          <w:rFonts w:ascii="Times New Roman" w:hAnsi="Times New Roman"/>
          <w:i/>
          <w:color w:val="000000"/>
          <w:sz w:val="18"/>
        </w:rPr>
        <w:t>t</w:t>
      </w:r>
      <w:r>
        <w:rPr>
          <w:rFonts w:ascii="Times New Roman" w:hAnsi="Times New Roman"/>
          <w:i/>
          <w:color w:val="000000"/>
          <w:sz w:val="18"/>
          <w:vertAlign w:val="subscript"/>
        </w:rPr>
        <w:t>-1</w:t>
      </w:r>
      <w:r>
        <w:rPr>
          <w:rFonts w:ascii="Times New Roman" w:hAnsi="Times New Roman"/>
          <w:color w:val="000000"/>
          <w:sz w:val="18"/>
        </w:rPr>
        <w:t xml:space="preserve"> represent the lagged reflectance vector and lagged time.</w:t>
      </w:r>
    </w:p>
    <w:p>
      <w:pPr>
        <w:spacing w:before="0" w:after="44" w:line="247" w:lineRule="auto"/>
        <w:jc w:val="both"/>
      </w:pPr>
      <w:r>
        <w:rPr>
          <w:rFonts w:ascii="Times New Roman" w:hAnsi="Times New Roman"/>
          <w:b w:val="0"/>
          <w:i w:val="0"/>
          <w:color w:val="000000"/>
          <w:sz w:val="20"/>
        </w:rPr>
        <w:t xml:space="preserve">Generalized Least Squares (GLS) regression is then run on the transformed data to calculate the parameter covariance matrix </w:t>
      </w:r>
      <w:r>
        <w:rPr>
          <w:rFonts w:ascii="Times New Roman" w:hAnsi="Times New Roman"/>
          <w:b/>
          <w:i w:val="0"/>
          <w:color w:val="000000"/>
          <w:sz w:val="20"/>
        </w:rPr>
        <w:t>C</w:t>
      </w:r>
      <w:r>
        <w:rPr>
          <w:rFonts w:ascii="Times New Roman" w:hAnsi="Times New Roman"/>
          <w:b w:val="0"/>
          <w:i w:val="0"/>
          <w:color w:val="000000"/>
          <w:sz w:val="20"/>
        </w:rPr>
        <w:t xml:space="preserve"> [8]. The multivariate Signal-to-Noise Ratio (</w:t>
      </w:r>
      <w:r>
        <w:rPr>
          <w:rFonts w:ascii="Times New Roman" w:hAnsi="Times New Roman"/>
          <w:i/>
          <w:color w:val="000000"/>
          <w:sz w:val="20"/>
        </w:rPr>
        <w:t>SNR</w:t>
      </w:r>
      <w:r>
        <w:rPr>
          <w:rFonts w:ascii="Times New Roman" w:hAnsi="Times New Roman"/>
          <w:b w:val="0"/>
          <w:i w:val="0"/>
          <w:color w:val="000000"/>
          <w:sz w:val="20"/>
        </w:rPr>
        <w:t>) is computed by projecting the trend vector onto the covariance uncertainty ellipse [5]: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147"/>
        <w:gridCol w:w="5147"/>
      </w:tblGrid>
      <w:tr>
        <w:tc>
          <w:tcPr>
            <w:tcW w:type="dxa" w:w="4435"/>
            <w:tcMar>
              <w:top w:w="0" w:type="dxa"/>
              <w:bottom w:w="0" w:type="dxa"/>
              <w:left w:w="0" w:type="dxa"/>
              <w:right w:w="0" w:type="dxa"/>
            </w:tcMar>
          </w:tcPr>
          <w:p>
            <w:pPr>
              <w:spacing w:before="24" w:after="24"/>
              <w:jc w:val="center"/>
            </w:pPr>
            <m:oMath>
              <m:r>
                <m:t>SNR=</m:t>
              </m:r>
              <m:f>
                <m:fPr>
                  <m:type m:val="bar"/>
                </m:fPr>
                <m:num>
                  <m:rad>
                    <m:radPr>
                      <m:degHide m:val="on"/>
                    </m:radPr>
                    <m:deg/>
                    <m:e>
                      <m:nary>
                        <m:naryPr>
                          <m:chr m:val="∑"/>
                          <m:limLoc m:val="subSup"/>
                          <m:grow m:val="1"/>
                          <m:subHide m:val="off"/>
                          <m:supHide m:val="on"/>
                        </m:naryPr>
                        <m:sub>
                          <m:r>
                            <m:t>i</m:t>
                          </m:r>
                        </m:sub>
                        <m:sup/>
                        <m:e>
                          <m:sSubSup>
                            <m:e>
                              <m:r>
                                <m:t>β</m:t>
                              </m:r>
                            </m:e>
                            <m:sub>
                              <m:r>
                                <m:t>i</m:t>
                              </m:r>
                            </m:sub>
                            <m:sup>
                              <m:r>
                                <m:t>2</m:t>
                              </m:r>
                            </m:sup>
                          </m:sSubSup>
                        </m:e>
                      </m:nary>
                    </m:e>
                  </m:rad>
                </m:num>
                <m:den>
                  <m:rad>
                    <m:radPr>
                      <m:degHide m:val="on"/>
                    </m:radPr>
                    <m:deg/>
                    <m:e>
                      <m:sSup>
                        <m:e>
                          <m:d>
                            <m:dPr>
                              <m:sepChr m:val=""/>
                            </m:dPr>
                            <m:e>
                              <m:f>
                                <m:fPr>
                                  <m:type m:val="bar"/>
                                </m:fPr>
                                <m:num>
                                  <m:limUpp>
                                    <m:e>
                                      <m:r>
                                        <m:t>β</m:t>
                                      </m:r>
                                    </m:e>
                                    <m:lim>
                                      <m:r>
                                        <m:t>→</m:t>
                                      </m:r>
                                    </m:lim>
                                  </m:limUpp>
                                </m:num>
                                <m:den>
                                  <m:r>
                                    <m:t>‖</m:t>
                                  </m:r>
                                  <m:limUpp>
                                    <m:e>
                                      <m:r>
                                        <m:t>β</m:t>
                                      </m:r>
                                    </m:e>
                                    <m:lim>
                                      <m:r>
                                        <m:t>→</m:t>
                                      </m:r>
                                    </m:lim>
                                  </m:limUpp>
                                  <m:r>
                                    <m:t>‖</m:t>
                                  </m:r>
                                </m:den>
                              </m:f>
                            </m:e>
                          </m:d>
                        </m:e>
                        <m:sup>
                          <m:r>
                            <m:t>T</m:t>
                          </m:r>
                        </m:sup>
                      </m:sSup>
                      <m:r>
                        <m:t>𝐂</m:t>
                      </m:r>
                      <m:d>
                        <m:dPr>
                          <m:sepChr m:val=""/>
                        </m:dPr>
                        <m:e>
                          <m:f>
                            <m:fPr>
                              <m:type m:val="bar"/>
                            </m:fPr>
                            <m:num>
                              <m:limUpp>
                                <m:e>
                                  <m:r>
                                    <m:t>β</m:t>
                                  </m:r>
                                </m:e>
                                <m:lim>
                                  <m:r>
                                    <m:t>→</m:t>
                                  </m:r>
                                </m:lim>
                              </m:limUpp>
                            </m:num>
                            <m:den>
                              <m:r>
                                <m:t>‖</m:t>
                              </m:r>
                              <m:limUpp>
                                <m:e>
                                  <m:r>
                                    <m:t>β</m:t>
                                  </m:r>
                                </m:e>
                                <m:lim>
                                  <m:r>
                                    <m:t>→</m:t>
                                  </m:r>
                                </m:lim>
                              </m:limUpp>
                              <m:r>
                                <m:t>‖</m:t>
                              </m:r>
                            </m:den>
                          </m:f>
                        </m:e>
                      </m:d>
                    </m:e>
                  </m:rad>
                </m:den>
              </m:f>
            </m:oMath>
          </w:p>
        </w:tc>
        <w:tc>
          <w:tcPr>
            <w:tcW w:type="dxa" w:w="590"/>
            <w:tcMar>
              <w:top w:w="0" w:type="dxa"/>
              <w:bottom w:w="0" w:type="dxa"/>
              <w:left w:w="0" w:type="dxa"/>
              <w:right w:w="0" w:type="dxa"/>
            </w:tcMar>
          </w:tcPr>
          <w:p>
            <w:pPr>
              <w:spacing w:before="24" w:after="24"/>
              <w:jc w:val="right"/>
            </w:pPr>
            <w:r>
              <w:rPr>
                <w:rFonts w:ascii="Times New Roman" w:hAnsi="Times New Roman"/>
                <w:color w:val="000000"/>
                <w:sz w:val="19"/>
              </w:rPr>
              <w:t>(10)</w:t>
            </w:r>
          </w:p>
        </w:tc>
      </w:tr>
    </w:tbl>
    <w:p>
      <w:pPr>
        <w:spacing w:before="10" w:after="40" w:line="247" w:lineRule="auto"/>
        <w:jc w:val="both"/>
      </w:pPr>
      <w:r>
        <w:rPr>
          <w:rFonts w:ascii="Times New Roman" w:hAnsi="Times New Roman"/>
          <w:color w:val="000000"/>
          <w:sz w:val="18"/>
        </w:rPr>
        <w:t xml:space="preserve">where </w:t>
      </w:r>
      <w:r>
        <w:rPr>
          <w:rFonts w:ascii="Times New Roman" w:hAnsi="Times New Roman"/>
          <w:i/>
          <w:color w:val="000000"/>
          <w:sz w:val="18"/>
        </w:rPr>
        <w:t>SNR</w:t>
      </w:r>
      <w:r>
        <w:rPr>
          <w:rFonts w:ascii="Times New Roman" w:hAnsi="Times New Roman"/>
          <w:color w:val="000000"/>
          <w:sz w:val="18"/>
        </w:rPr>
        <w:t xml:space="preserve"> is the multivariate Signal-to-Noise Ratio comparing the trend to background red noise; </w:t>
      </w:r>
      <w:r>
        <w:rPr>
          <w:rFonts w:ascii="Times New Roman" w:hAnsi="Times New Roman"/>
          <w:i/>
          <w:color w:val="000000"/>
          <w:sz w:val="18"/>
        </w:rPr>
        <w:t>β</w:t>
      </w:r>
      <w:r>
        <w:rPr>
          <w:rFonts w:ascii="Times New Roman" w:hAnsi="Times New Roman"/>
          <w:i/>
          <w:color w:val="000000"/>
          <w:sz w:val="18"/>
          <w:vertAlign w:val="subscript"/>
        </w:rPr>
        <w:t>i</w:t>
      </w:r>
      <w:r>
        <w:rPr>
          <w:rFonts w:ascii="Times New Roman" w:hAnsi="Times New Roman"/>
          <w:color w:val="000000"/>
          <w:sz w:val="18"/>
        </w:rPr>
        <w:t xml:space="preserve"> is the trend slope in band </w:t>
      </w:r>
      <w:r>
        <w:rPr>
          <w:rFonts w:ascii="Times New Roman" w:hAnsi="Times New Roman"/>
          <w:i/>
          <w:color w:val="000000"/>
          <w:sz w:val="18"/>
        </w:rPr>
        <w:t>i</w:t>
      </w:r>
      <w:r>
        <w:rPr>
          <w:rFonts w:ascii="Times New Roman" w:hAnsi="Times New Roman"/>
          <w:color w:val="000000"/>
          <w:sz w:val="18"/>
        </w:rPr>
        <w:t>; ‖</w:t>
      </w:r>
      <w:r>
        <w:rPr>
          <w:rFonts w:ascii="Times New Roman" w:hAnsi="Times New Roman"/>
          <w:i/>
          <w:color w:val="000000"/>
          <w:sz w:val="18"/>
        </w:rPr>
        <w:t>β</w:t>
      </w:r>
      <w:r>
        <w:rPr>
          <w:rFonts w:ascii="Times New Roman" w:hAnsi="Times New Roman"/>
          <w:color w:val="000000"/>
          <w:sz w:val="18"/>
        </w:rPr>
        <w:t xml:space="preserve">‖ is the overall magnitude of the trend vector; and </w:t>
      </w:r>
      <w:r>
        <w:rPr>
          <w:rFonts w:ascii="Times New Roman" w:hAnsi="Times New Roman"/>
          <w:b/>
          <w:i w:val="0"/>
          <w:color w:val="000000"/>
          <w:sz w:val="18"/>
        </w:rPr>
        <w:t>C</w:t>
      </w:r>
      <w:r>
        <w:rPr>
          <w:rFonts w:ascii="Times New Roman" w:hAnsi="Times New Roman"/>
          <w:color w:val="000000"/>
          <w:sz w:val="18"/>
        </w:rPr>
        <w:t xml:space="preserve"> is the GLS covariance matrix [5].</w:t>
      </w:r>
    </w:p>
    <w:p>
      <w:pPr>
        <w:spacing w:before="0" w:after="44" w:line="247" w:lineRule="auto"/>
        <w:jc w:val="both"/>
      </w:pPr>
      <w:r>
        <w:rPr>
          <w:rFonts w:ascii="Times New Roman" w:hAnsi="Times New Roman"/>
          <w:b w:val="0"/>
          <w:i w:val="0"/>
          <w:color w:val="000000"/>
          <w:sz w:val="20"/>
        </w:rPr>
        <w:t xml:space="preserve">A trend is considered statistically significant at the 95% confidence level if </w:t>
      </w:r>
      <w:r>
        <w:rPr>
          <w:rFonts w:ascii="Times New Roman" w:hAnsi="Times New Roman"/>
          <w:i/>
          <w:color w:val="000000"/>
          <w:sz w:val="20"/>
        </w:rPr>
        <w:t>SNR</w:t>
      </w:r>
      <w:r>
        <w:rPr>
          <w:rFonts w:ascii="Times New Roman" w:hAnsi="Times New Roman"/>
          <w:b w:val="0"/>
          <w:i w:val="0"/>
          <w:color w:val="000000"/>
          <w:sz w:val="20"/>
        </w:rPr>
        <w:t xml:space="preserve"> ≥ 2.0, providing an indicator of ecological change that emerges decades sooner than single-variable chlorophyll models [5], [6].</w:t>
      </w:r>
    </w:p>
    <w:p>
      <w:pPr>
        <w:keepNext/>
        <w:spacing w:before="120" w:after="40"/>
        <w:jc w:val="center"/>
      </w:pPr>
      <w:r>
        <w:rPr>
          <w:rFonts w:ascii="Times New Roman" w:hAnsi="Times New Roman"/>
          <w:b/>
          <w:color w:val="000000"/>
          <w:sz w:val="20"/>
        </w:rPr>
        <w:t>IV. EXPECTED ANALYTICAL FRAMEWORK AND DISCUSSION</w:t>
      </w:r>
    </w:p>
    <w:p>
      <w:pPr>
        <w:spacing w:before="0" w:after="44" w:line="247" w:lineRule="auto"/>
        <w:jc w:val="both"/>
      </w:pPr>
      <w:r>
        <w:rPr>
          <w:rFonts w:ascii="Times New Roman" w:hAnsi="Times New Roman"/>
          <w:b w:val="0"/>
          <w:i w:val="0"/>
          <w:color w:val="000000"/>
          <w:sz w:val="20"/>
        </w:rPr>
        <w:t>Combining multi-source satellite radiometry with hydrodynamic reanalysis data provides valuable diagnostic results across three main areas:</w:t>
      </w:r>
    </w:p>
    <w:p>
      <w:pPr>
        <w:keepNext/>
        <w:spacing w:before="90" w:after="24"/>
        <w:jc w:val="left"/>
      </w:pPr>
      <w:r>
        <w:rPr>
          <w:rFonts w:ascii="Times New Roman" w:hAnsi="Times New Roman"/>
          <w:b/>
          <w:i/>
          <w:color w:val="000000"/>
          <w:sz w:val="20"/>
        </w:rPr>
        <w:t>A. Discrimination Accuracy of Mixotrophic Dinoflagellates</w:t>
      </w:r>
    </w:p>
    <w:p>
      <w:pPr>
        <w:spacing w:before="0" w:after="44" w:line="247" w:lineRule="auto"/>
        <w:jc w:val="both"/>
      </w:pPr>
      <w:r>
        <w:rPr>
          <w:rFonts w:ascii="Times New Roman" w:hAnsi="Times New Roman"/>
          <w:b w:val="0"/>
          <w:i w:val="0"/>
          <w:color w:val="000000"/>
          <w:sz w:val="20"/>
        </w:rPr>
        <w:t xml:space="preserve">Using the narrow-band ratio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(531)/</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 xml:space="preserve">(510) allows the system to solve the common problem of confusing green </w:t>
      </w:r>
      <w:r>
        <w:rPr>
          <w:rFonts w:ascii="Times New Roman" w:hAnsi="Times New Roman"/>
          <w:i/>
          <w:color w:val="000000"/>
          <w:sz w:val="20"/>
        </w:rPr>
        <w:t>Noctiluca</w:t>
      </w:r>
      <w:r>
        <w:rPr>
          <w:rFonts w:ascii="Times New Roman" w:hAnsi="Times New Roman"/>
          <w:b w:val="0"/>
          <w:i w:val="0"/>
          <w:color w:val="000000"/>
          <w:sz w:val="20"/>
        </w:rPr>
        <w:t xml:space="preserve"> with regular diatoms in standard satellite products [1], [17]. In typical diatom blooms, reflectance decreases steadily from 490 nm to 555 nm because of normal chlorophyll-</w:t>
      </w:r>
      <w:r>
        <w:rPr>
          <w:rFonts w:ascii="Times New Roman" w:hAnsi="Times New Roman"/>
          <w:i/>
          <w:color w:val="000000"/>
          <w:sz w:val="20"/>
        </w:rPr>
        <w:t>a</w:t>
      </w:r>
      <w:r>
        <w:rPr>
          <w:rFonts w:ascii="Times New Roman" w:hAnsi="Times New Roman"/>
          <w:b w:val="0"/>
          <w:i w:val="0"/>
          <w:color w:val="000000"/>
          <w:sz w:val="20"/>
        </w:rPr>
        <w:t xml:space="preserve"> absorption [7]. In green </w:t>
      </w:r>
      <w:r>
        <w:rPr>
          <w:rFonts w:ascii="Times New Roman" w:hAnsi="Times New Roman"/>
          <w:i/>
          <w:color w:val="000000"/>
          <w:sz w:val="20"/>
        </w:rPr>
        <w:t>Noctiluca</w:t>
      </w:r>
      <w:r>
        <w:rPr>
          <w:rFonts w:ascii="Times New Roman" w:hAnsi="Times New Roman"/>
          <w:b w:val="0"/>
          <w:i w:val="0"/>
          <w:color w:val="000000"/>
          <w:sz w:val="20"/>
        </w:rPr>
        <w:t xml:space="preserve">, however, the green </w:t>
      </w:r>
      <w:r>
        <w:rPr>
          <w:rFonts w:ascii="Times New Roman" w:hAnsi="Times New Roman"/>
          <w:i/>
          <w:color w:val="000000"/>
          <w:sz w:val="20"/>
        </w:rPr>
        <w:t>Pedinomonas noctilucae</w:t>
      </w:r>
      <w:r>
        <w:rPr>
          <w:rFonts w:ascii="Times New Roman" w:hAnsi="Times New Roman"/>
          <w:b w:val="0"/>
          <w:i w:val="0"/>
          <w:color w:val="000000"/>
          <w:sz w:val="20"/>
        </w:rPr>
        <w:t xml:space="preserve"> endosymbionts create a distinct reflectance peak near 531 nm and strong absorption near 510 nm. Tracking this specific ratio across winter satellite passes allows continuous mapping of cell densities in both coastal and offshore areas. In addition, computing dynamic particulate backscattering (</w:t>
      </w:r>
      <w:r>
        <w:rPr>
          <w:rFonts w:ascii="Times New Roman" w:hAnsi="Times New Roman"/>
          <w:i/>
          <w:color w:val="000000"/>
          <w:sz w:val="20"/>
        </w:rPr>
        <w:t>b</w:t>
      </w:r>
      <w:r>
        <w:rPr>
          <w:rFonts w:ascii="Times New Roman" w:hAnsi="Times New Roman"/>
          <w:i w:val="0"/>
          <w:color w:val="000000"/>
          <w:sz w:val="20"/>
          <w:vertAlign w:val="subscript"/>
        </w:rPr>
        <w:t>bp</w:t>
      </w:r>
      <w:r>
        <w:rPr>
          <w:rFonts w:ascii="Times New Roman" w:hAnsi="Times New Roman"/>
          <w:b w:val="0"/>
          <w:i w:val="0"/>
          <w:color w:val="000000"/>
          <w:sz w:val="20"/>
        </w:rPr>
        <w:t>) using the QAA model helps filter out false detections caused by mineral sediment runoff in shallow bays, ensuring that detected anomalies are real algal blooms.</w:t>
      </w:r>
    </w:p>
    <w:p>
      <w:pPr>
        <w:keepNext/>
        <w:spacing w:before="90" w:after="24"/>
        <w:jc w:val="left"/>
      </w:pPr>
      <w:r>
        <w:rPr>
          <w:rFonts w:ascii="Times New Roman" w:hAnsi="Times New Roman"/>
          <w:b/>
          <w:i/>
          <w:color w:val="000000"/>
          <w:sz w:val="20"/>
        </w:rPr>
        <w:t>B. Coupling Surface Optics with Hydrodynamic Mixing Drivers</w:t>
      </w:r>
    </w:p>
    <w:p>
      <w:pPr>
        <w:spacing w:before="0" w:after="44" w:line="247" w:lineRule="auto"/>
        <w:jc w:val="both"/>
      </w:pPr>
      <w:r>
        <w:rPr>
          <w:rFonts w:ascii="Times New Roman" w:hAnsi="Times New Roman"/>
          <w:b w:val="0"/>
          <w:i w:val="0"/>
          <w:color w:val="000000"/>
          <w:sz w:val="20"/>
        </w:rPr>
        <w:t>Comparing satellite bloom masks with CMEMS physical reanalysis grids confirms the oceanographic triggers identified by Shi and Wang [2] and Lakshmi et al. [12]. During the winter northeast monsoon, areas with cooler sea surface temperatures (</w:t>
      </w:r>
      <w:r>
        <w:rPr>
          <w:rFonts w:ascii="Times New Roman" w:hAnsi="Times New Roman"/>
          <w:i/>
          <w:color w:val="000000"/>
          <w:sz w:val="20"/>
        </w:rPr>
        <w:t>SST</w:t>
      </w:r>
      <w:r>
        <w:rPr>
          <w:rFonts w:ascii="Times New Roman" w:hAnsi="Times New Roman"/>
          <w:b w:val="0"/>
          <w:i w:val="0"/>
          <w:color w:val="000000"/>
          <w:sz w:val="20"/>
        </w:rPr>
        <w:t xml:space="preserve"> &lt; 25 °C) and deeper mixed layers (</w:t>
      </w:r>
      <w:r>
        <w:rPr>
          <w:rFonts w:ascii="Times New Roman" w:hAnsi="Times New Roman"/>
          <w:i/>
          <w:color w:val="000000"/>
          <w:sz w:val="20"/>
        </w:rPr>
        <w:t>MLD</w:t>
      </w:r>
      <w:r>
        <w:rPr>
          <w:rFonts w:ascii="Times New Roman" w:hAnsi="Times New Roman"/>
          <w:b w:val="0"/>
          <w:i w:val="0"/>
          <w:color w:val="000000"/>
          <w:sz w:val="20"/>
        </w:rPr>
        <w:t xml:space="preserve"> ≈ 70–80 m) show significant nutrient entrainment, which is followed by bloom growth once daytime sunlight warms the surface and makes the mixed layer shallower than Sverdrup's critical depth. Furthermore, combining satellite rasters with ERA5 aerosol optical depth (AOD) data tracks desert dust storms from the Arabian Peninsula, supporting the dust fertilization mechanism described by Kuttippurath et al. [3], [18]. This shows that while winter convective mixing supplies major nutrients like nitrate and phosphate, desert dust provides essential trace metals such as iron that sustain blooms in open waters.</w:t>
      </w:r>
    </w:p>
    <w:p>
      <w:pPr>
        <w:keepNext/>
        <w:spacing w:before="90" w:after="24"/>
        <w:jc w:val="left"/>
      </w:pPr>
      <w:r>
        <w:rPr>
          <w:rFonts w:ascii="Times New Roman" w:hAnsi="Times New Roman"/>
          <w:b/>
          <w:i/>
          <w:color w:val="000000"/>
          <w:sz w:val="20"/>
        </w:rPr>
        <w:t>C. Emergence of Long-Term Ecological Trends</w:t>
      </w:r>
    </w:p>
    <w:p>
      <w:pPr>
        <w:spacing w:before="0" w:after="44" w:line="247" w:lineRule="auto"/>
        <w:jc w:val="both"/>
      </w:pPr>
      <w:r>
        <w:rPr>
          <w:rFonts w:ascii="Times New Roman" w:hAnsi="Times New Roman"/>
          <w:b w:val="0"/>
          <w:i w:val="0"/>
          <w:color w:val="000000"/>
          <w:sz w:val="20"/>
        </w:rPr>
        <w:t xml:space="preserve">Using Cochrane-Orcutt multivariate regression across multi-band reflectance helps determine whether increased greening in the Arabian Sea is a permanent climate trend or part of natural decadal cycles [11]. In agreement with Cael et al. [5] and Dutkiewicz et al. [6], multivariate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 xml:space="preserve"> vectors reduce natural year-to-year noise, allowing significant trends (</w:t>
      </w:r>
      <w:r>
        <w:rPr>
          <w:rFonts w:ascii="Times New Roman" w:hAnsi="Times New Roman"/>
          <w:i/>
          <w:color w:val="000000"/>
          <w:sz w:val="20"/>
        </w:rPr>
        <w:t>SNR</w:t>
      </w:r>
      <w:r>
        <w:rPr>
          <w:rFonts w:ascii="Times New Roman" w:hAnsi="Times New Roman"/>
          <w:b w:val="0"/>
          <w:i w:val="0"/>
          <w:color w:val="000000"/>
          <w:sz w:val="20"/>
        </w:rPr>
        <w:t xml:space="preserve"> ≥ 2.0) to be detected within the available 20-year satellite record, whereas single-variable chlorophyll models remain uncertain [8]. By tracking multi-wavelength reflectance patterns, our system can detect subtle changes in plankton optical characteristics—such as rising endosymbiont carotenoids—much earlier than traditional chlorophyll indexes, providing an early warning signal for regional ecosystem shifts.</w:t>
      </w:r>
    </w:p>
    <w:p>
      <w:pPr>
        <w:keepNext/>
        <w:spacing w:before="120" w:after="40"/>
        <w:jc w:val="center"/>
      </w:pPr>
      <w:r>
        <w:rPr>
          <w:rFonts w:ascii="Times New Roman" w:hAnsi="Times New Roman"/>
          <w:b/>
          <w:color w:val="000000"/>
          <w:sz w:val="20"/>
        </w:rPr>
        <w:t>V. CONCLUSION</w:t>
      </w:r>
    </w:p>
    <w:p>
      <w:pPr>
        <w:spacing w:before="0" w:after="44" w:line="247" w:lineRule="auto"/>
        <w:jc w:val="both"/>
      </w:pPr>
      <w:r>
        <w:rPr>
          <w:rFonts w:ascii="Times New Roman" w:hAnsi="Times New Roman"/>
          <w:b w:val="0"/>
          <w:i w:val="0"/>
          <w:color w:val="000000"/>
          <w:sz w:val="20"/>
        </w:rPr>
        <w:t xml:space="preserve">In this study, we presented an integrated computational Earth observation framework that connects satellite bio-optical inversion with physical hydrodynamic reanalysis to detect and monitor </w:t>
      </w:r>
      <w:r>
        <w:rPr>
          <w:rFonts w:ascii="Times New Roman" w:hAnsi="Times New Roman"/>
          <w:i/>
          <w:color w:val="000000"/>
          <w:sz w:val="20"/>
        </w:rPr>
        <w:t>Noctiluca scintillans</w:t>
      </w:r>
      <w:r>
        <w:rPr>
          <w:rFonts w:ascii="Times New Roman" w:hAnsi="Times New Roman"/>
          <w:b w:val="0"/>
          <w:i w:val="0"/>
          <w:color w:val="000000"/>
          <w:sz w:val="20"/>
        </w:rPr>
        <w:t xml:space="preserve"> blooms in the northern Arabian Sea. By synthesizing twenty key papers across marine optics, radiative transfer, atmospheric correction, and time-series statistics, the proposed pipeline directly addresses four major challenges: empirical algorithm misclassification, the gap between surface satellite data and subsurface mixing, high data loss under large solar zenith angles in winter, and statistical noise in single-variable time series. Our pipeline applies diagnostic narrow-band ratios (</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(531)/</w:t>
      </w:r>
      <w:r>
        <w:rPr>
          <w:rFonts w:ascii="Times New Roman" w:hAnsi="Times New Roman"/>
          <w:i/>
          <w:color w:val="000000"/>
          <w:sz w:val="20"/>
        </w:rPr>
        <w:t>R</w:t>
      </w:r>
      <w:r>
        <w:rPr>
          <w:rFonts w:ascii="Times New Roman" w:hAnsi="Times New Roman"/>
          <w:i w:val="0"/>
          <w:color w:val="000000"/>
          <w:sz w:val="20"/>
          <w:vertAlign w:val="subscript"/>
        </w:rPr>
        <w:t>rs</w:t>
      </w:r>
      <w:r>
        <w:rPr>
          <w:rFonts w:ascii="Times New Roman" w:hAnsi="Times New Roman"/>
          <w:b w:val="0"/>
          <w:i w:val="0"/>
          <w:color w:val="000000"/>
          <w:sz w:val="20"/>
        </w:rPr>
        <w:t>(510)) to estimate cell density, uses neural network atmospheric correction to recover low-sun winter images, connects surface blooms with convective mixing reanalysis, and applies multivariate autoregressive regression to detect long-term decadal shifts. In future work, we plan to incorporate Physics-Informed Neural Networks (PINNs) into the pipeline to model 3D subsurface oxygen depletion and predict coastal hypoxia before blooms collapse, providing a practical early warning system to support marine conservation under UN Sustainable Development Goal 14.</w:t>
      </w:r>
    </w:p>
    <w:p>
      <w:pPr>
        <w:keepNext/>
        <w:spacing w:before="120" w:after="40"/>
        <w:jc w:val="center"/>
      </w:pPr>
      <w:r>
        <w:rPr>
          <w:rFonts w:ascii="Times New Roman" w:hAnsi="Times New Roman"/>
          <w:b/>
          <w:color w:val="000000"/>
          <w:sz w:val="20"/>
        </w:rPr>
        <w:t>REFERENCES</w:t>
      </w:r>
    </w:p>
    <w:p>
      <w:pPr>
        <w:spacing w:before="0" w:after="20" w:line="245" w:lineRule="auto"/>
        <w:ind w:left="360" w:hanging="360"/>
        <w:jc w:val="both"/>
      </w:pPr>
      <w:r>
        <w:rPr>
          <w:rFonts w:ascii="Times New Roman" w:hAnsi="Times New Roman"/>
          <w:color w:val="000000"/>
          <w:sz w:val="18"/>
        </w:rPr>
        <w:t>[1] S. R. Pandi, S. K. Baliarsingh, A. A. Lotliker, N. S. Sarma, and S. C. Tripathy, "Empirical relationships for remote sensing reflectance and Noctiluca scintillans cell density in the northeastern Arabian Sea," Marine Pollution Bulletin, vol. 161, p. 111770, 2020.</w:t>
      </w:r>
    </w:p>
    <w:p>
      <w:pPr>
        <w:spacing w:before="0" w:after="20" w:line="245" w:lineRule="auto"/>
        <w:ind w:left="360" w:hanging="360"/>
        <w:jc w:val="both"/>
      </w:pPr>
      <w:r>
        <w:rPr>
          <w:rFonts w:ascii="Times New Roman" w:hAnsi="Times New Roman"/>
          <w:color w:val="000000"/>
          <w:sz w:val="18"/>
        </w:rPr>
        <w:t>[2] W. Shi and M. Wang, "Phytoplankton biomass dynamics in the Arabian Sea from VIIRS observations," Journal of Marine Systems, vol. 227, p. 103670, 2022.</w:t>
      </w:r>
    </w:p>
    <w:p>
      <w:pPr>
        <w:spacing w:before="0" w:after="20" w:line="245" w:lineRule="auto"/>
        <w:ind w:left="360" w:hanging="360"/>
        <w:jc w:val="both"/>
      </w:pPr>
      <w:r>
        <w:rPr>
          <w:rFonts w:ascii="Times New Roman" w:hAnsi="Times New Roman"/>
          <w:color w:val="000000"/>
          <w:sz w:val="18"/>
        </w:rPr>
        <w:t>[3] J. Kuttippurath, S. Maishal, P. Anjaneyan, N. Sunanda, and K. Chakraborty, "Recent changes in atmospheric input and primary productivity in the north Indian Ocean," Heliyon, vol. 9, no. 7, p. e17940, 2023.</w:t>
      </w:r>
    </w:p>
    <w:p>
      <w:pPr>
        <w:spacing w:before="0" w:after="20" w:line="245" w:lineRule="auto"/>
        <w:ind w:left="360" w:hanging="360"/>
        <w:jc w:val="both"/>
      </w:pPr>
      <w:r>
        <w:rPr>
          <w:rFonts w:ascii="Times New Roman" w:hAnsi="Times New Roman"/>
          <w:color w:val="000000"/>
          <w:sz w:val="18"/>
        </w:rPr>
        <w:t>[4] H. Li, X. He, P. Shanmugam, Y. Bai, D. Wang, T. Li, and F. Gong, "Assessing and improving the accuracy of Visible Infrared Imaging Radiometer Suite ocean color products in environments with high solar zenith angles," Remote Sensing, vol. 16, no. 2, p. 339, 2024.</w:t>
      </w:r>
    </w:p>
    <w:p>
      <w:pPr>
        <w:spacing w:before="0" w:after="20" w:line="245" w:lineRule="auto"/>
        <w:ind w:left="360" w:hanging="360"/>
        <w:jc w:val="both"/>
      </w:pPr>
      <w:r>
        <w:rPr>
          <w:rFonts w:ascii="Times New Roman" w:hAnsi="Times New Roman"/>
          <w:color w:val="000000"/>
          <w:sz w:val="18"/>
        </w:rPr>
        <w:t>[5] B. B. Cael, K. Bisson, E. Boss, S. Dutkiewicz, and S. Henson, "Global climate-change trends detected in indicators of ocean ecology," Nature, vol. 619, no. 7970, pp. 551–554, 2023.</w:t>
      </w:r>
    </w:p>
    <w:p>
      <w:pPr>
        <w:spacing w:before="0" w:after="20" w:line="245" w:lineRule="auto"/>
        <w:ind w:left="360" w:hanging="360"/>
        <w:jc w:val="both"/>
      </w:pPr>
      <w:r>
        <w:rPr>
          <w:rFonts w:ascii="Times New Roman" w:hAnsi="Times New Roman"/>
          <w:color w:val="000000"/>
          <w:sz w:val="18"/>
        </w:rPr>
        <w:t>[6] S. Dutkiewicz, A. E. Hickman, O. Jahn, S. Henson, C. Beaulieu, and E. Monier, "Ocean colour signature of climate change," Nature Communications, vol. 10, no. 1, p. 578, 2019.</w:t>
      </w:r>
    </w:p>
    <w:p>
      <w:pPr>
        <w:spacing w:before="0" w:after="20" w:line="245" w:lineRule="auto"/>
        <w:ind w:left="360" w:hanging="360"/>
        <w:jc w:val="both"/>
      </w:pPr>
      <w:r>
        <w:rPr>
          <w:rFonts w:ascii="Times New Roman" w:hAnsi="Times New Roman"/>
          <w:color w:val="000000"/>
          <w:sz w:val="18"/>
        </w:rPr>
        <w:t>[7] S. Sathyendranath, R. J. W. Brewin, C. Brockmann, V. Brotas, B. Calton, A. Chuprin, et al., "An ocean-colour time series for use in climate studies: The experience of the Ocean-Colour Climate Change Initiative (OC-CCI)," Sensors, vol. 19, no. 19, p. 4285, 2019.</w:t>
      </w:r>
    </w:p>
    <w:p>
      <w:pPr>
        <w:spacing w:before="0" w:after="20" w:line="245" w:lineRule="auto"/>
        <w:ind w:left="360" w:hanging="360"/>
        <w:jc w:val="both"/>
      </w:pPr>
      <w:r>
        <w:rPr>
          <w:rFonts w:ascii="Times New Roman" w:hAnsi="Times New Roman"/>
          <w:color w:val="000000"/>
          <w:sz w:val="18"/>
        </w:rPr>
        <w:t>[8] M. L. Hammond, C. Beaulieu, S. A. Henson, and S. K. Sahu, "Regional surface chlorophyll trends and uncertainties in the global ocean," Scientific Reports, vol. 10, no. 1, p. 15273, 2020.</w:t>
      </w:r>
    </w:p>
    <w:p>
      <w:pPr>
        <w:spacing w:before="0" w:after="20" w:line="245" w:lineRule="auto"/>
        <w:ind w:left="360" w:hanging="360"/>
        <w:jc w:val="both"/>
      </w:pPr>
      <w:r>
        <w:rPr>
          <w:rFonts w:ascii="Times New Roman" w:hAnsi="Times New Roman"/>
          <w:color w:val="000000"/>
          <w:sz w:val="18"/>
        </w:rPr>
        <w:t>[9] K. M. Bisson, E. Boss, T. K. Westberry, and M. J. Behrenfeld, "Evaluating satellite estimates of particulate backscatter in the global open ocean using autonomous profiling floats," Optics Express, vol. 27, no. 21, pp. 30191–30203, 2019.</w:t>
      </w:r>
    </w:p>
    <w:p>
      <w:pPr>
        <w:spacing w:before="0" w:after="20" w:line="245" w:lineRule="auto"/>
        <w:ind w:left="360" w:hanging="360"/>
        <w:jc w:val="both"/>
      </w:pPr>
      <w:r>
        <w:rPr>
          <w:rFonts w:ascii="Times New Roman" w:hAnsi="Times New Roman"/>
          <w:color w:val="000000"/>
          <w:sz w:val="18"/>
        </w:rPr>
        <w:t>[10] J. Castant, V. Vantrepotte, R. Frouin, and G. Beaugrand, "Comprehensive gridded dataset of photosynthetically active radiation in the upper ocean from 1958 to 2022," Remote Sensing of Environment, vol. 311, p. 114305, 2024.</w:t>
      </w:r>
    </w:p>
    <w:p>
      <w:pPr>
        <w:spacing w:before="0" w:after="20" w:line="245" w:lineRule="auto"/>
        <w:ind w:left="360" w:hanging="360"/>
        <w:jc w:val="both"/>
      </w:pPr>
      <w:r>
        <w:rPr>
          <w:rFonts w:ascii="Times New Roman" w:hAnsi="Times New Roman"/>
          <w:color w:val="000000"/>
          <w:sz w:val="18"/>
        </w:rPr>
        <w:t>[11] J. I. Goes, H. Tian, H. do R. Gomes, O. R. Anderson, K. Al-Hashmi, S. deRada, et al., "Ecosystem state change in the Arabian Sea fuelled by the recent loss of snow over the Himalayan-Tibetan plateau region," Scientific Reports, vol. 10, no. 1, p. 7422, 2020.</w:t>
      </w:r>
    </w:p>
    <w:p>
      <w:pPr>
        <w:spacing w:before="0" w:after="20" w:line="245" w:lineRule="auto"/>
        <w:ind w:left="360" w:hanging="360"/>
        <w:jc w:val="both"/>
      </w:pPr>
      <w:r>
        <w:rPr>
          <w:rFonts w:ascii="Times New Roman" w:hAnsi="Times New Roman"/>
          <w:color w:val="000000"/>
          <w:sz w:val="18"/>
        </w:rPr>
        <w:t>[12] R. S. Lakshmi, S. Prakash, P. N. Vinayachandran, and A. Chatterjee, "Physicochemical controls on the initiation of phytoplankton bloom during the winter monsoon in the Arabian Sea," Scientific Reports, vol. 11, no. 1, p. 13247, 2021.</w:t>
      </w:r>
    </w:p>
    <w:p>
      <w:pPr>
        <w:spacing w:before="0" w:after="20" w:line="245" w:lineRule="auto"/>
        <w:ind w:left="360" w:hanging="360"/>
        <w:jc w:val="both"/>
      </w:pPr>
      <w:r>
        <w:rPr>
          <w:rFonts w:ascii="Times New Roman" w:hAnsi="Times New Roman"/>
          <w:color w:val="000000"/>
          <w:sz w:val="18"/>
        </w:rPr>
        <w:t>[13] C. R. Asha Devi, K. B. Padmakumar, and V. N. Sanjeevan, "Understanding the microzooplankton mediated food web of the winter–spring Noctiluca bloom in the Northeastern Arabian Sea Ecosystem," Regional Studies in Marine Science, vol. 42, p. 101623, 2021.</w:t>
      </w:r>
    </w:p>
    <w:p>
      <w:pPr>
        <w:spacing w:before="0" w:after="20" w:line="245" w:lineRule="auto"/>
        <w:ind w:left="360" w:hanging="360"/>
        <w:jc w:val="both"/>
      </w:pPr>
      <w:r>
        <w:rPr>
          <w:rFonts w:ascii="Times New Roman" w:hAnsi="Times New Roman"/>
          <w:color w:val="000000"/>
          <w:sz w:val="18"/>
        </w:rPr>
        <w:t>[14] K. D. Raj, G. Mathews, D. Obura, R. L. Laju, M. S. Bharath, P. Dilipan, et al., "Low oxygen levels caused by Noctiluca scintillans bloom kills corals in Gulf of Mannar, India," Scientific Reports, vol. 10, no. 1, p. 22216, 2020.</w:t>
      </w:r>
    </w:p>
    <w:p>
      <w:pPr>
        <w:spacing w:before="0" w:after="20" w:line="245" w:lineRule="auto"/>
        <w:ind w:left="360" w:hanging="360"/>
        <w:jc w:val="both"/>
      </w:pPr>
      <w:r>
        <w:rPr>
          <w:rFonts w:ascii="Times New Roman" w:hAnsi="Times New Roman"/>
          <w:color w:val="000000"/>
          <w:sz w:val="18"/>
        </w:rPr>
        <w:t>[15] C. Xiang, J. Qi, M. M. R. Sarker, and Z. Chen, "The key to dinoflagellate (Noctiluca scintillans) blooming and outcompeting diatoms in winter off Pakistan, northern Arabian Sea," Science of The Total Environment, vol. 695, p. 133887, 2019.</w:t>
      </w:r>
    </w:p>
    <w:p>
      <w:pPr>
        <w:spacing w:before="0" w:after="20" w:line="245" w:lineRule="auto"/>
        <w:ind w:left="360" w:hanging="360"/>
        <w:jc w:val="both"/>
      </w:pPr>
      <w:r>
        <w:rPr>
          <w:rFonts w:ascii="Times New Roman" w:hAnsi="Times New Roman"/>
          <w:color w:val="000000"/>
          <w:sz w:val="18"/>
        </w:rPr>
        <w:t>[16] V. V. S. S. Sarma, J. S. Patil, D. Shankar, and A. C. Anil, "Shallow convective mixing promotes massive Noctiluca scintillans bloom in the northeastern Arabian Sea," Marine Pollution Bulletin, vol. 138, pp. 428–436, 2019.</w:t>
      </w:r>
    </w:p>
    <w:p>
      <w:pPr>
        <w:spacing w:before="0" w:after="20" w:line="245" w:lineRule="auto"/>
        <w:ind w:left="360" w:hanging="360"/>
        <w:jc w:val="both"/>
      </w:pPr>
      <w:r>
        <w:rPr>
          <w:rFonts w:ascii="Times New Roman" w:hAnsi="Times New Roman"/>
          <w:color w:val="000000"/>
          <w:sz w:val="18"/>
        </w:rPr>
        <w:t>[17] S. K. Baliarsingh, R. M. Dwivedi, A. A. Lotliker, K. C. Sahu, T. S. Kumar, and S. S. C. Shenoi, "An optical remote sensing approach for ecological monitoring of red and green Noctiluca scintillans," Environmental Monitoring and Assessment, vol. 189, no. 7, p. 330, 2017.</w:t>
      </w:r>
    </w:p>
    <w:p>
      <w:pPr>
        <w:spacing w:before="0" w:after="20" w:line="245" w:lineRule="auto"/>
        <w:ind w:left="360" w:hanging="360"/>
        <w:jc w:val="both"/>
      </w:pPr>
      <w:r>
        <w:rPr>
          <w:rFonts w:ascii="Times New Roman" w:hAnsi="Times New Roman"/>
          <w:color w:val="000000"/>
          <w:sz w:val="18"/>
        </w:rPr>
        <w:t>[18] J. Kuttippurath, N. Sunanda, M. V. Martin, and K. Chakraborty, "Tropical storms trigger phytoplankton blooms in the deserts of north Indian Ocean," npj Climate and Atmospheric Science, vol. 4, no. 1, p. 11, 2021.</w:t>
      </w:r>
    </w:p>
    <w:p>
      <w:pPr>
        <w:spacing w:before="0" w:after="20" w:line="245" w:lineRule="auto"/>
        <w:ind w:left="360" w:hanging="360"/>
        <w:jc w:val="both"/>
      </w:pPr>
      <w:r>
        <w:rPr>
          <w:rFonts w:ascii="Times New Roman" w:hAnsi="Times New Roman"/>
          <w:color w:val="000000"/>
          <w:sz w:val="18"/>
        </w:rPr>
        <w:t>[19] G. Kulk, T. Platt, J. Dingle, T. Jackson, B. F. Jönsson, H. A. Bouman, et al., "Primary production, an index of climate change in the ocean: satellite-based estimates over two decades," Remote Sensing, vol. 12, no. 5, p. 826, 2020.</w:t>
      </w:r>
    </w:p>
    <w:p>
      <w:pPr>
        <w:spacing w:before="0" w:after="20" w:line="245" w:lineRule="auto"/>
        <w:ind w:left="360" w:hanging="360"/>
        <w:jc w:val="both"/>
      </w:pPr>
      <w:r>
        <w:rPr>
          <w:rFonts w:ascii="Times New Roman" w:hAnsi="Times New Roman"/>
          <w:color w:val="000000"/>
          <w:sz w:val="18"/>
        </w:rPr>
        <w:t>[20] H. Loisel, D. Stramski, D. Dessailly, C. Jamet, L. Li, and R. A. Reynolds, "An inverse model for estimating the optical absorption and backscattering coefficients of seawater from remote-sensing reflectance over a broad range of oceanic and coastal marine environments," Journal of Geophysical Research: Oceans, vol. 123, no. 3, pp. 2141–2171, 2018.</w:t>
      </w:r>
    </w:p>
    <w:sectPr w:rsidR="00FC693F" w:rsidRPr="0006063C" w:rsidSect="00034616">
      <w:type w:val="continuous"/>
      <w:pgSz w:w="11906" w:h="16838"/>
      <w:pgMar w:top="1080" w:right="806" w:bottom="1440" w:left="806" w:header="720" w:footer="720" w:gutter="0"/>
      <w:cols w:space="316"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