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e84545"/>
          <w:sz w:val="56"/>
          <w:szCs w:val="56"/>
        </w:rPr>
        <w:t xml:space="preserve">MatchCreatorz</w:t>
      </w:r>
    </w:p>
    <w:p>
      <w:pPr>
        <w:spacing w:after="40"/>
        <w:jc w:val="center"/>
      </w:pPr>
      <w:r>
        <w:rPr>
          <w:b/>
          <w:bCs/>
          <w:color w:val="1a1a1a"/>
          <w:sz w:val="26"/>
          <w:szCs w:val="26"/>
        </w:rPr>
        <w:t xml:space="preserve">Development Change Report — CRUD, Search, New Modules, Editor &amp; API</w:t>
      </w:r>
    </w:p>
    <w:p>
      <w:pPr>
        <w:spacing w:after="240"/>
        <w:jc w:val="center"/>
      </w:pPr>
      <w:r>
        <w:rPr>
          <w:i/>
          <w:iCs/>
          <w:color w:val="555555"/>
          <w:sz w:val="20"/>
          <w:szCs w:val="20"/>
        </w:rPr>
        <w:t xml:space="preserve">Prepared: 21 July 2026</w:t>
      </w:r>
    </w:p>
    <w:p>
      <w:pPr>
        <w:pStyle w:val="Heading1"/>
        <w:spacing w:after="120" w:before="240"/>
      </w:pPr>
      <w:r>
        <w:rPr>
          <w:b/>
          <w:bCs/>
          <w:color w:val="e84545"/>
        </w:rPr>
        <w:t xml:space="preserve">1. Overview</w:t>
      </w:r>
    </w:p>
    <w:p>
      <w:pPr>
        <w:spacing w:after="120"/>
      </w:pPr>
      <w:r>
        <w:rPr>
          <w:color w:val="555555"/>
          <w:sz w:val="21"/>
          <w:szCs w:val="21"/>
        </w:rPr>
        <w:t xml:space="preserve">This document summarises the work completed in this development pass on the MatchCreatorz platform. The scope covered a full audit of every module, correctness fixes across the existing CRUD surfaces, three brand-new full-stack modules (Favourites, Connects and Offers), a project-wide rich-text editor, searchable tags, standardised pagination, complete Swagger/OpenAPI coverage, and a ready-to-run PostgreSQL schema with seed data.</w:t>
      </w:r>
    </w:p>
    <w:p>
      <w:pPr>
        <w:spacing w:after="120"/>
      </w:pPr>
      <w:r>
        <w:rPr>
          <w:color w:val="555555"/>
          <w:sz w:val="21"/>
          <w:szCs w:val="21"/>
        </w:rPr>
        <w:t xml:space="preserve">All backend work was done in the API project (Node.js / Express / Sequelize / PostgreSQL) and all frontend work in the web app (Next.js 16 / React 19 / TypeScript). No files outside these two projects were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4545" w:val="clear"/>
            <w:tcMar>
              <w:top w:type="dxa" w:w="60"/>
              <w:left w:type="dxa" w:w="100"/>
              <w:bottom w:type="dxa" w:w="60"/>
              <w:right w:type="dxa" w:w="100"/>
            </w:tcMar>
          </w:tcPr>
          <w:p>
            <w:r>
              <w:rPr>
                <w:b/>
                <w:bCs/>
                <w:color w:val="FFFFFF"/>
                <w:sz w:val="19"/>
                <w:szCs w:val="19"/>
              </w:rPr>
              <w:t xml:space="preserve">Area</w:t>
            </w:r>
          </w:p>
        </w:tc>
        <w:tc>
          <w:tcPr>
            <w:tcW w:type="dxa" w:w="6360"/>
            <w:shd w:fill="e84545" w:val="clear"/>
            <w:tcMar>
              <w:top w:type="dxa" w:w="60"/>
              <w:left w:type="dxa" w:w="100"/>
              <w:bottom w:type="dxa" w:w="60"/>
              <w:right w:type="dxa" w:w="100"/>
            </w:tcMar>
          </w:tcPr>
          <w:p>
            <w:r>
              <w:rPr>
                <w:b/>
                <w:bCs/>
                <w:color w:val="FFFFFF"/>
                <w:sz w:val="19"/>
                <w:szCs w:val="19"/>
              </w:rPr>
              <w:t xml:space="preserve">Result</w:t>
            </w:r>
          </w:p>
        </w:tc>
      </w:tr>
      <w:tr>
        <w:tc>
          <w:tcPr>
            <w:tcW w:type="dxa" w:w="3000"/>
            <w:tcMar>
              <w:top w:type="dxa" w:w="60"/>
              <w:left w:type="dxa" w:w="100"/>
              <w:bottom w:type="dxa" w:w="60"/>
              <w:right w:type="dxa" w:w="100"/>
            </w:tcMar>
          </w:tcPr>
          <w:p>
            <w:r>
              <w:rPr>
                <w:b w:val="false"/>
                <w:bCs w:val="false"/>
                <w:color w:val="1a1a1a"/>
                <w:sz w:val="19"/>
                <w:szCs w:val="19"/>
              </w:rPr>
              <w:t xml:space="preserve">Documented API endpoints</w:t>
            </w:r>
          </w:p>
        </w:tc>
        <w:tc>
          <w:tcPr>
            <w:tcW w:type="dxa" w:w="6360"/>
            <w:tcMar>
              <w:top w:type="dxa" w:w="60"/>
              <w:left w:type="dxa" w:w="100"/>
              <w:bottom w:type="dxa" w:w="60"/>
              <w:right w:type="dxa" w:w="100"/>
            </w:tcMar>
          </w:tcPr>
          <w:p>
            <w:r>
              <w:rPr>
                <w:b w:val="false"/>
                <w:bCs w:val="false"/>
                <w:color w:val="1a1a1a"/>
                <w:sz w:val="19"/>
                <w:szCs w:val="19"/>
              </w:rPr>
              <w:t xml:space="preserve">132 (Swagger builds cleanly)</w:t>
            </w:r>
          </w:p>
        </w:tc>
      </w:tr>
      <w:tr>
        <w:tc>
          <w:tcPr>
            <w:tcW w:type="dxa" w:w="3000"/>
            <w:tcMar>
              <w:top w:type="dxa" w:w="60"/>
              <w:left w:type="dxa" w:w="100"/>
              <w:bottom w:type="dxa" w:w="60"/>
              <w:right w:type="dxa" w:w="100"/>
            </w:tcMar>
          </w:tcPr>
          <w:p>
            <w:r>
              <w:rPr>
                <w:b w:val="false"/>
                <w:bCs w:val="false"/>
                <w:color w:val="1a1a1a"/>
                <w:sz w:val="19"/>
                <w:szCs w:val="19"/>
              </w:rPr>
              <w:t xml:space="preserve">New full-stack modules</w:t>
            </w:r>
          </w:p>
        </w:tc>
        <w:tc>
          <w:tcPr>
            <w:tcW w:type="dxa" w:w="6360"/>
            <w:tcMar>
              <w:top w:type="dxa" w:w="60"/>
              <w:left w:type="dxa" w:w="100"/>
              <w:bottom w:type="dxa" w:w="60"/>
              <w:right w:type="dxa" w:w="100"/>
            </w:tcMar>
          </w:tcPr>
          <w:p>
            <w:r>
              <w:rPr>
                <w:b w:val="false"/>
                <w:bCs w:val="false"/>
                <w:color w:val="1a1a1a"/>
                <w:sz w:val="19"/>
                <w:szCs w:val="19"/>
              </w:rPr>
              <w:t xml:space="preserve">Favourites, Connects, Offers</w:t>
            </w:r>
          </w:p>
        </w:tc>
      </w:tr>
      <w:tr>
        <w:tc>
          <w:tcPr>
            <w:tcW w:type="dxa" w:w="3000"/>
            <w:tcMar>
              <w:top w:type="dxa" w:w="60"/>
              <w:left w:type="dxa" w:w="100"/>
              <w:bottom w:type="dxa" w:w="60"/>
              <w:right w:type="dxa" w:w="100"/>
            </w:tcMar>
          </w:tcPr>
          <w:p>
            <w:r>
              <w:rPr>
                <w:b w:val="false"/>
                <w:bCs w:val="false"/>
                <w:color w:val="1a1a1a"/>
                <w:sz w:val="19"/>
                <w:szCs w:val="19"/>
              </w:rPr>
              <w:t xml:space="preserve">New database tables</w:t>
            </w:r>
          </w:p>
        </w:tc>
        <w:tc>
          <w:tcPr>
            <w:tcW w:type="dxa" w:w="6360"/>
            <w:tcMar>
              <w:top w:type="dxa" w:w="60"/>
              <w:left w:type="dxa" w:w="100"/>
              <w:bottom w:type="dxa" w:w="60"/>
              <w:right w:type="dxa" w:w="100"/>
            </w:tcMar>
          </w:tcPr>
          <w:p>
            <w:r>
              <w:rPr>
                <w:b w:val="false"/>
                <w:bCs w:val="false"/>
                <w:color w:val="1a1a1a"/>
                <w:sz w:val="19"/>
                <w:szCs w:val="19"/>
              </w:rPr>
              <w:t xml:space="preserve">favourites, connect_transactions, offers</w:t>
            </w:r>
          </w:p>
        </w:tc>
      </w:tr>
      <w:tr>
        <w:tc>
          <w:tcPr>
            <w:tcW w:type="dxa" w:w="3000"/>
            <w:tcMar>
              <w:top w:type="dxa" w:w="60"/>
              <w:left w:type="dxa" w:w="100"/>
              <w:bottom w:type="dxa" w:w="60"/>
              <w:right w:type="dxa" w:w="100"/>
            </w:tcMar>
          </w:tcPr>
          <w:p>
            <w:r>
              <w:rPr>
                <w:b w:val="false"/>
                <w:bCs w:val="false"/>
                <w:color w:val="1a1a1a"/>
                <w:sz w:val="19"/>
                <w:szCs w:val="19"/>
              </w:rPr>
              <w:t xml:space="preserve">Rich-text editor</w:t>
            </w:r>
          </w:p>
        </w:tc>
        <w:tc>
          <w:tcPr>
            <w:tcW w:type="dxa" w:w="6360"/>
            <w:tcMar>
              <w:top w:type="dxa" w:w="60"/>
              <w:left w:type="dxa" w:w="100"/>
              <w:bottom w:type="dxa" w:w="60"/>
              <w:right w:type="dxa" w:w="100"/>
            </w:tcMar>
          </w:tcPr>
          <w:p>
            <w:r>
              <w:rPr>
                <w:b w:val="false"/>
                <w:bCs w:val="false"/>
                <w:color w:val="1a1a1a"/>
                <w:sz w:val="19"/>
                <w:szCs w:val="19"/>
              </w:rPr>
              <w:t xml:space="preserve">React Quill (react-quill-new) on all content fields</w:t>
            </w:r>
          </w:p>
        </w:tc>
      </w:tr>
      <w:tr>
        <w:tc>
          <w:tcPr>
            <w:tcW w:type="dxa" w:w="3000"/>
            <w:tcMar>
              <w:top w:type="dxa" w:w="60"/>
              <w:left w:type="dxa" w:w="100"/>
              <w:bottom w:type="dxa" w:w="60"/>
              <w:right w:type="dxa" w:w="100"/>
            </w:tcMar>
          </w:tcPr>
          <w:p>
            <w:r>
              <w:rPr>
                <w:b w:val="false"/>
                <w:bCs w:val="false"/>
                <w:color w:val="1a1a1a"/>
                <w:sz w:val="19"/>
                <w:szCs w:val="19"/>
              </w:rPr>
              <w:t xml:space="preserve">Frontend type-check</w:t>
            </w:r>
          </w:p>
        </w:tc>
        <w:tc>
          <w:tcPr>
            <w:tcW w:type="dxa" w:w="6360"/>
            <w:tcMar>
              <w:top w:type="dxa" w:w="60"/>
              <w:left w:type="dxa" w:w="100"/>
              <w:bottom w:type="dxa" w:w="60"/>
              <w:right w:type="dxa" w:w="100"/>
            </w:tcMar>
          </w:tcPr>
          <w:p>
            <w:r>
              <w:rPr>
                <w:b w:val="false"/>
                <w:bCs w:val="false"/>
                <w:color w:val="1a1a1a"/>
                <w:sz w:val="19"/>
                <w:szCs w:val="19"/>
              </w:rPr>
              <w:t xml:space="preserve">npx tsc --noEmit — passes (0 errors)</w:t>
            </w:r>
          </w:p>
        </w:tc>
      </w:tr>
      <w:tr>
        <w:tc>
          <w:tcPr>
            <w:tcW w:type="dxa" w:w="3000"/>
            <w:tcMar>
              <w:top w:type="dxa" w:w="60"/>
              <w:left w:type="dxa" w:w="100"/>
              <w:bottom w:type="dxa" w:w="60"/>
              <w:right w:type="dxa" w:w="100"/>
            </w:tcMar>
          </w:tcPr>
          <w:p>
            <w:r>
              <w:rPr>
                <w:b w:val="false"/>
                <w:bCs w:val="false"/>
                <w:color w:val="1a1a1a"/>
                <w:sz w:val="19"/>
                <w:szCs w:val="19"/>
              </w:rPr>
              <w:t xml:space="preserve">SQL deliverable</w:t>
            </w:r>
          </w:p>
        </w:tc>
        <w:tc>
          <w:tcPr>
            <w:tcW w:type="dxa" w:w="6360"/>
            <w:tcMar>
              <w:top w:type="dxa" w:w="60"/>
              <w:left w:type="dxa" w:w="100"/>
              <w:bottom w:type="dxa" w:w="60"/>
              <w:right w:type="dxa" w:w="100"/>
            </w:tcMar>
          </w:tcPr>
          <w:p>
            <w:r>
              <w:rPr>
                <w:b w:val="false"/>
                <w:bCs w:val="false"/>
                <w:color w:val="1a1a1a"/>
                <w:sz w:val="19"/>
                <w:szCs w:val="19"/>
              </w:rPr>
              <w:t xml:space="preserve">matchcreatorz_schema.sql (schema + seed)</w:t>
            </w:r>
          </w:p>
        </w:tc>
      </w:tr>
    </w:tbl>
    <w:p>
      <w:pPr>
        <w:pStyle w:val="Heading1"/>
        <w:spacing w:after="120" w:before="240"/>
      </w:pPr>
      <w:r>
        <w:rPr>
          <w:b/>
          <w:bCs/>
          <w:color w:val="e84545"/>
        </w:rPr>
        <w:t xml:space="preserve">2. Backend Correctness Fixes</w:t>
      </w:r>
    </w:p>
    <w:p>
      <w:pPr>
        <w:spacing w:after="120"/>
      </w:pPr>
      <w:r>
        <w:rPr>
          <w:color w:val="555555"/>
          <w:sz w:val="21"/>
          <w:szCs w:val="21"/>
        </w:rPr>
        <w:t xml:space="preserve">The audit surfaced a number of real bugs and inconsistencies in the existing modules. Each of the following was fixed:</w:t>
      </w:r>
    </w:p>
    <w:p>
      <w:pPr>
        <w:pStyle w:val="ListParagraph"/>
        <w:numPr>
          <w:ilvl w:val="0"/>
          <w:numId w:val="1"/>
        </w:numPr>
        <w:spacing w:after="60"/>
      </w:pPr>
      <w:r>
        <w:rPr>
          <w:b/>
          <w:bCs/>
          <w:color w:val="1a1a1a"/>
          <w:sz w:val="21"/>
          <w:szCs w:val="21"/>
        </w:rPr>
        <w:t xml:space="preserve">Admin Jobs response (broken):</w:t>
      </w:r>
      <w:r>
        <w:rPr>
          <w:color w:val="555555"/>
          <w:sz w:val="21"/>
          <w:szCs w:val="21"/>
        </w:rPr>
        <w:t xml:space="preserve">  the admin "list jobs" endpoint was passing its pagination object into the HTTP status-code argument, corrupting the response. It now uses the standard paginate helper.</w:t>
      </w:r>
    </w:p>
    <w:p>
      <w:pPr>
        <w:pStyle w:val="ListParagraph"/>
        <w:numPr>
          <w:ilvl w:val="0"/>
          <w:numId w:val="1"/>
        </w:numPr>
        <w:spacing w:after="60"/>
      </w:pPr>
      <w:r>
        <w:rPr>
          <w:b/>
          <w:bCs/>
          <w:color w:val="1a1a1a"/>
          <w:sz w:val="21"/>
          <w:szCs w:val="21"/>
        </w:rPr>
        <w:t xml:space="preserve">Searchable tags:</w:t>
      </w:r>
      <w:r>
        <w:rPr>
          <w:color w:val="555555"/>
          <w:sz w:val="21"/>
          <w:szCs w:val="21"/>
        </w:rPr>
        <w:t xml:space="preserve">  buyer service search only looked at title and description. It now also searches the tags JSONB array, matching the documented behaviour and the seller-side search.</w:t>
      </w:r>
    </w:p>
    <w:p>
      <w:pPr>
        <w:pStyle w:val="ListParagraph"/>
        <w:numPr>
          <w:ilvl w:val="0"/>
          <w:numId w:val="1"/>
        </w:numPr>
        <w:spacing w:after="60"/>
      </w:pPr>
      <w:r>
        <w:rPr>
          <w:b/>
          <w:bCs/>
          <w:color w:val="1a1a1a"/>
          <w:sz w:val="21"/>
          <w:szCs w:val="21"/>
        </w:rPr>
        <w:t xml:space="preserve">Searchable skills:</w:t>
      </w:r>
      <w:r>
        <w:rPr>
          <w:color w:val="555555"/>
          <w:sz w:val="21"/>
          <w:szCs w:val="21"/>
        </w:rPr>
        <w:t xml:space="preserve">  job listings (seller browse + admin) now also search the skills array, so a search term matches on skills too.</w:t>
      </w:r>
    </w:p>
    <w:p>
      <w:pPr>
        <w:pStyle w:val="ListParagraph"/>
        <w:numPr>
          <w:ilvl w:val="0"/>
          <w:numId w:val="1"/>
        </w:numPr>
        <w:spacing w:after="60"/>
      </w:pPr>
      <w:r>
        <w:rPr>
          <w:b/>
          <w:bCs/>
          <w:color w:val="1a1a1a"/>
          <w:sz w:val="21"/>
          <w:szCs w:val="21"/>
        </w:rPr>
        <w:t xml:space="preserve">Booking integrity:</w:t>
      </w:r>
      <w:r>
        <w:rPr>
          <w:color w:val="555555"/>
          <w:sz w:val="21"/>
          <w:szCs w:val="21"/>
        </w:rPr>
        <w:t xml:space="preserve">  creating a booking previously trusted the client-supplied seller, amount and title. It now derives seller, price, title and delivery from the referenced service on the server, validates the service is active, and blocks self-booking.</w:t>
      </w:r>
    </w:p>
    <w:p>
      <w:pPr>
        <w:pStyle w:val="ListParagraph"/>
        <w:numPr>
          <w:ilvl w:val="0"/>
          <w:numId w:val="1"/>
        </w:numPr>
        <w:spacing w:after="60"/>
      </w:pPr>
      <w:r>
        <w:rPr>
          <w:b/>
          <w:bCs/>
          <w:color w:val="1a1a1a"/>
          <w:sz w:val="21"/>
          <w:szCs w:val="21"/>
        </w:rPr>
        <w:t xml:space="preserve">Seller rating:</w:t>
      </w:r>
      <w:r>
        <w:rPr>
          <w:color w:val="555555"/>
          <w:sz w:val="21"/>
          <w:szCs w:val="21"/>
        </w:rPr>
        <w:t xml:space="preserve">  a seller’s aggregate rating and review count were never recalculated. They are now recomputed on review create, publish, hide and delete (alongside the per-service rating).</w:t>
      </w:r>
    </w:p>
    <w:p>
      <w:pPr>
        <w:pStyle w:val="ListParagraph"/>
        <w:numPr>
          <w:ilvl w:val="0"/>
          <w:numId w:val="1"/>
        </w:numPr>
        <w:spacing w:after="60"/>
      </w:pPr>
      <w:r>
        <w:rPr>
          <w:b/>
          <w:bCs/>
          <w:color w:val="1a1a1a"/>
          <w:sz w:val="21"/>
          <w:szCs w:val="21"/>
        </w:rPr>
        <w:t xml:space="preserve">Category delete guard:</w:t>
      </w:r>
      <w:r>
        <w:rPr>
          <w:color w:val="555555"/>
          <w:sz w:val="21"/>
          <w:szCs w:val="21"/>
        </w:rPr>
        <w:t xml:space="preserve">  deleting a category with services still attached is now blocked with a clear error, preventing orphaned data.</w:t>
      </w:r>
    </w:p>
    <w:p>
      <w:pPr>
        <w:pStyle w:val="ListParagraph"/>
        <w:numPr>
          <w:ilvl w:val="0"/>
          <w:numId w:val="1"/>
        </w:numPr>
        <w:spacing w:after="60"/>
      </w:pPr>
      <w:r>
        <w:rPr>
          <w:b/>
          <w:bCs/>
          <w:color w:val="1a1a1a"/>
          <w:sz w:val="21"/>
          <w:szCs w:val="21"/>
        </w:rPr>
        <w:t xml:space="preserve">Profile update:</w:t>
      </w:r>
      <w:r>
        <w:rPr>
          <w:color w:val="555555"/>
          <w:sz w:val="21"/>
          <w:szCs w:val="21"/>
        </w:rPr>
        <w:t xml:space="preserve">  profile update called .trim() on fields without a type check, which could throw on a null/numeric value. Field cleaning is now null-safe.</w:t>
      </w:r>
    </w:p>
    <w:p>
      <w:pPr>
        <w:pStyle w:val="ListParagraph"/>
        <w:numPr>
          <w:ilvl w:val="0"/>
          <w:numId w:val="1"/>
        </w:numPr>
        <w:spacing w:after="60"/>
      </w:pPr>
      <w:r>
        <w:rPr>
          <w:b/>
          <w:bCs/>
          <w:color w:val="1a1a1a"/>
          <w:sz w:val="21"/>
          <w:szCs w:val="21"/>
        </w:rPr>
        <w:t xml:space="preserve">Pagination shape:</w:t>
      </w:r>
      <w:r>
        <w:rPr>
          <w:color w:val="555555"/>
          <w:sz w:val="21"/>
          <w:szCs w:val="21"/>
        </w:rPr>
        <w:t xml:space="preserve">  the paginate helper now emits both a meta block and a pagination block (mirrored, including totalPages/pages), so every list endpoint returns one uniform, backwards-compatible shape.</w:t>
      </w:r>
    </w:p>
    <w:p>
      <w:pPr>
        <w:pStyle w:val="Heading1"/>
        <w:spacing w:after="120" w:before="240"/>
      </w:pPr>
      <w:r>
        <w:rPr>
          <w:b/>
          <w:bCs/>
          <w:color w:val="e84545"/>
        </w:rPr>
        <w:t xml:space="preserve">3. New Full-Stack Modules</w:t>
      </w:r>
    </w:p>
    <w:p>
      <w:pPr>
        <w:pStyle w:val="Heading2"/>
        <w:spacing w:after="120" w:before="240"/>
      </w:pPr>
      <w:r>
        <w:rPr>
          <w:b/>
          <w:bCs/>
          <w:color w:val="1a1a1a"/>
        </w:rPr>
        <w:t xml:space="preserve">3.1 Favourites</w:t>
      </w:r>
    </w:p>
    <w:p>
      <w:pPr>
        <w:spacing w:after="120"/>
      </w:pPr>
      <w:r>
        <w:rPr>
          <w:color w:val="555555"/>
          <w:sz w:val="21"/>
          <w:szCs w:val="21"/>
        </w:rPr>
        <w:t xml:space="preserve">Buyers can save services to a favourites list. Backed by a new favourites table (unique per user+service). Endpoints: list favourites, list favourite IDs (for the heart-toggle state), add and remove. The buyer Favourites page and the search-page heart icon are wired to these APIs.</w:t>
      </w:r>
    </w:p>
    <w:p>
      <w:pPr>
        <w:pStyle w:val="Heading2"/>
        <w:spacing w:after="120" w:before="240"/>
      </w:pPr>
      <w:r>
        <w:rPr>
          <w:b/>
          <w:bCs/>
          <w:color w:val="1a1a1a"/>
        </w:rPr>
        <w:t xml:space="preserve">3.2 Connects</w:t>
      </w:r>
    </w:p>
    <w:p>
      <w:pPr>
        <w:spacing w:after="120"/>
      </w:pPr>
      <w:r>
        <w:rPr>
          <w:color w:val="555555"/>
          <w:sz w:val="21"/>
          <w:szCs w:val="21"/>
        </w:rPr>
        <w:t xml:space="preserve">A complete connects economy built on a new connect_transactions ledger. Admin can credit connects to any seller; sellers see their live balance and full transaction history. Placing a bid now requires and deducts one connect (recorded in the ledger), and withdrawing a bid refunds it. All balance changes are transactional. The admin Connects page and the seller Connects page are wired to real data.</w:t>
      </w:r>
    </w:p>
    <w:p>
      <w:pPr>
        <w:pStyle w:val="Heading2"/>
        <w:spacing w:after="120" w:before="240"/>
      </w:pPr>
      <w:r>
        <w:rPr>
          <w:b/>
          <w:bCs/>
          <w:color w:val="1a1a1a"/>
        </w:rPr>
        <w:t xml:space="preserve">3.3 Offers</w:t>
      </w:r>
    </w:p>
    <w:p>
      <w:pPr>
        <w:spacing w:after="120"/>
      </w:pPr>
      <w:r>
        <w:rPr>
          <w:color w:val="555555"/>
          <w:sz w:val="21"/>
          <w:szCs w:val="21"/>
        </w:rPr>
        <w:t xml:space="preserve">Sellers can send a custom offer (title, description, amount, delivery) to a buyer. Buyers see received offers and can accept or decline; accepting automatically creates a booking and links it to the offer. Sellers can list and withdraw their sent offers. The buyer Offers and seller Offers pages are wired to these APIs.</w:t>
      </w:r>
    </w:p>
    <w:p>
      <w:pPr>
        <w:pStyle w:val="Heading1"/>
        <w:spacing w:after="120" w:before="240"/>
      </w:pPr>
      <w:r>
        <w:rPr>
          <w:b/>
          <w:bCs/>
          <w:color w:val="e84545"/>
        </w:rPr>
        <w:t xml:space="preserve">4. Search, Filter &amp; Pagination</w:t>
      </w:r>
    </w:p>
    <w:p>
      <w:pPr>
        <w:spacing w:after="120"/>
      </w:pPr>
      <w:r>
        <w:rPr>
          <w:color w:val="555555"/>
          <w:sz w:val="21"/>
          <w:szCs w:val="21"/>
        </w:rPr>
        <w:t xml:space="preserve">Search now covers tags (services) and skills (jobs) in addition to titles and descriptions. Filters (status, category, price range, rating, delivery time, sort order) were verified across the service and job listings. Server-side pagination controls were added to the pages that previously fetched unbounded result sets: seller services, buyer jobs and seller browse-jobs. Search input resets the list to page one so results stay consistent.</w:t>
      </w:r>
    </w:p>
    <w:p>
      <w:pPr>
        <w:pStyle w:val="Heading1"/>
        <w:spacing w:after="120" w:before="240"/>
      </w:pPr>
      <w:r>
        <w:rPr>
          <w:b/>
          <w:bCs/>
          <w:color w:val="e84545"/>
        </w:rPr>
        <w:t xml:space="preserve">5. Rich-Text Editor</w:t>
      </w:r>
    </w:p>
    <w:p>
      <w:pPr>
        <w:spacing w:after="120"/>
      </w:pPr>
      <w:r>
        <w:rPr>
          <w:color w:val="555555"/>
          <w:sz w:val="21"/>
          <w:szCs w:val="21"/>
        </w:rPr>
        <w:t xml:space="preserve">A reusable RichTextEditor component was added, built on react-quill-new (the React 19 / Next 16 compatible fork; the classic react-quill relies on findDOMNode which React 19 removed). It is loaded client-side only via dynamic import to be compatible with the App Router. Two variants are provided: a full toolbar for long content and a compact toolbar for short prose.</w:t>
      </w:r>
    </w:p>
    <w:p>
      <w:pPr>
        <w:spacing w:after="120"/>
      </w:pPr>
      <w:r>
        <w:rPr>
          <w:color w:val="555555"/>
          <w:sz w:val="21"/>
          <w:szCs w:val="21"/>
        </w:rPr>
        <w:t xml:space="preserve">The editor replaced plain textareas on the primary content fields: service description, job description, bid proposal (both create and edit), and the buyer / seller / admin profile bios. Short single-purpose fields (cancellation reason, dispute reason, admin note, feedback message) were intentionally left as plain textareas, since rich formatting there adds no value.</w:t>
      </w:r>
    </w:p>
    <w:p>
      <w:pPr>
        <w:pStyle w:val="Heading1"/>
        <w:spacing w:after="120" w:before="240"/>
      </w:pPr>
      <w:r>
        <w:rPr>
          <w:b/>
          <w:bCs/>
          <w:color w:val="e84545"/>
        </w:rPr>
        <w:t xml:space="preserve">6. API Documentation (Swagger)</w:t>
      </w:r>
    </w:p>
    <w:p>
      <w:pPr>
        <w:spacing w:after="120"/>
      </w:pPr>
      <w:r>
        <w:rPr>
          <w:color w:val="555555"/>
          <w:sz w:val="21"/>
          <w:szCs w:val="21"/>
        </w:rPr>
        <w:t xml:space="preserve">Every endpoint is now documented. The Swagger specification builds without errors and exposes 132 documented operations, including all new Favourites, Connects and Offers routes, and the previously undocumented admin Jobs endpoints. The FCM / push-token register and clear endpoints were also fully documented for both web (PushSubscription) and mobile (FCM token) platforms.</w:t>
      </w:r>
    </w:p>
    <w:p>
      <w:pPr>
        <w:pStyle w:val="Heading1"/>
        <w:spacing w:after="120" w:before="240"/>
      </w:pPr>
      <w:r>
        <w:rPr>
          <w:b/>
          <w:bCs/>
          <w:color w:val="e84545"/>
        </w:rPr>
        <w:t xml:space="preserve">7. Database Schema &amp; Seed (SQL)</w:t>
      </w:r>
    </w:p>
    <w:p>
      <w:pPr>
        <w:spacing w:after="120"/>
      </w:pPr>
      <w:r>
        <w:rPr>
          <w:color w:val="555555"/>
          <w:sz w:val="21"/>
          <w:szCs w:val="21"/>
        </w:rPr>
        <w:t xml:space="preserve">A single SQL file, matchcreatorz_schema.sql, is provided. It was generated directly from the Sequelize models so it matches the code exactly. It contains: all enum type definitions (idempotent), all 13 tables with their foreign keys, useful indexes (including the unique favourites index and lookup indexes on the busy foreign keys), and seed data.</w:t>
      </w:r>
    </w:p>
    <w:p>
      <w:pPr>
        <w:spacing w:after="120"/>
      </w:pPr>
      <w:r>
        <w:rPr>
          <w:color w:val="555555"/>
          <w:sz w:val="21"/>
          <w:szCs w:val="21"/>
        </w:rPr>
        <w:t xml:space="preserve">Seed data includes a default admin account and a starter set of ten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4545" w:val="clear"/>
            <w:tcMar>
              <w:top w:type="dxa" w:w="60"/>
              <w:left w:type="dxa" w:w="100"/>
              <w:bottom w:type="dxa" w:w="60"/>
              <w:right w:type="dxa" w:w="100"/>
            </w:tcMar>
          </w:tcPr>
          <w:p>
            <w:r>
              <w:rPr>
                <w:b/>
                <w:bCs/>
                <w:color w:val="FFFFFF"/>
                <w:sz w:val="19"/>
                <w:szCs w:val="19"/>
              </w:rPr>
              <w:t xml:space="preserve">Seed</w:t>
            </w:r>
          </w:p>
        </w:tc>
        <w:tc>
          <w:tcPr>
            <w:tcW w:type="dxa" w:w="6360"/>
            <w:shd w:fill="e84545" w:val="clear"/>
            <w:tcMar>
              <w:top w:type="dxa" w:w="60"/>
              <w:left w:type="dxa" w:w="100"/>
              <w:bottom w:type="dxa" w:w="60"/>
              <w:right w:type="dxa" w:w="100"/>
            </w:tcMar>
          </w:tcPr>
          <w:p>
            <w:r>
              <w:rPr>
                <w:b/>
                <w:bCs/>
                <w:color w:val="FFFFFF"/>
                <w:sz w:val="19"/>
                <w:szCs w:val="19"/>
              </w:rPr>
              <w:t xml:space="preserve">Value</w:t>
            </w:r>
          </w:p>
        </w:tc>
      </w:tr>
      <w:tr>
        <w:tc>
          <w:tcPr>
            <w:tcW w:type="dxa" w:w="3000"/>
            <w:tcMar>
              <w:top w:type="dxa" w:w="60"/>
              <w:left w:type="dxa" w:w="100"/>
              <w:bottom w:type="dxa" w:w="60"/>
              <w:right w:type="dxa" w:w="100"/>
            </w:tcMar>
          </w:tcPr>
          <w:p>
            <w:r>
              <w:rPr>
                <w:b w:val="false"/>
                <w:bCs w:val="false"/>
                <w:color w:val="1a1a1a"/>
                <w:sz w:val="19"/>
                <w:szCs w:val="19"/>
              </w:rPr>
              <w:t xml:space="preserve">Admin email</w:t>
            </w:r>
          </w:p>
        </w:tc>
        <w:tc>
          <w:tcPr>
            <w:tcW w:type="dxa" w:w="6360"/>
            <w:tcMar>
              <w:top w:type="dxa" w:w="60"/>
              <w:left w:type="dxa" w:w="100"/>
              <w:bottom w:type="dxa" w:w="60"/>
              <w:right w:type="dxa" w:w="100"/>
            </w:tcMar>
          </w:tcPr>
          <w:p>
            <w:r>
              <w:rPr>
                <w:b w:val="false"/>
                <w:bCs w:val="false"/>
                <w:color w:val="1a1a1a"/>
                <w:sz w:val="19"/>
                <w:szCs w:val="19"/>
              </w:rPr>
              <w:t xml:space="preserve">admin@matchcreatorz.com</w:t>
            </w:r>
          </w:p>
        </w:tc>
      </w:tr>
      <w:tr>
        <w:tc>
          <w:tcPr>
            <w:tcW w:type="dxa" w:w="3000"/>
            <w:tcMar>
              <w:top w:type="dxa" w:w="60"/>
              <w:left w:type="dxa" w:w="100"/>
              <w:bottom w:type="dxa" w:w="60"/>
              <w:right w:type="dxa" w:w="100"/>
            </w:tcMar>
          </w:tcPr>
          <w:p>
            <w:r>
              <w:rPr>
                <w:b w:val="false"/>
                <w:bCs w:val="false"/>
                <w:color w:val="1a1a1a"/>
                <w:sz w:val="19"/>
                <w:szCs w:val="19"/>
              </w:rPr>
              <w:t xml:space="preserve">Admin password</w:t>
            </w:r>
          </w:p>
        </w:tc>
        <w:tc>
          <w:tcPr>
            <w:tcW w:type="dxa" w:w="6360"/>
            <w:tcMar>
              <w:top w:type="dxa" w:w="60"/>
              <w:left w:type="dxa" w:w="100"/>
              <w:bottom w:type="dxa" w:w="60"/>
              <w:right w:type="dxa" w:w="100"/>
            </w:tcMar>
          </w:tcPr>
          <w:p>
            <w:r>
              <w:rPr>
                <w:b w:val="false"/>
                <w:bCs w:val="false"/>
                <w:color w:val="1a1a1a"/>
                <w:sz w:val="19"/>
                <w:szCs w:val="19"/>
              </w:rPr>
              <w:t xml:space="preserve">Admin@123</w:t>
            </w:r>
          </w:p>
        </w:tc>
      </w:tr>
      <w:tr>
        <w:tc>
          <w:tcPr>
            <w:tcW w:type="dxa" w:w="3000"/>
            <w:tcMar>
              <w:top w:type="dxa" w:w="60"/>
              <w:left w:type="dxa" w:w="100"/>
              <w:bottom w:type="dxa" w:w="60"/>
              <w:right w:type="dxa" w:w="100"/>
            </w:tcMar>
          </w:tcPr>
          <w:p>
            <w:r>
              <w:rPr>
                <w:b w:val="false"/>
                <w:bCs w:val="false"/>
                <w:color w:val="1a1a1a"/>
                <w:sz w:val="19"/>
                <w:szCs w:val="19"/>
              </w:rPr>
              <w:t xml:space="preserve">Categories</w:t>
            </w:r>
          </w:p>
        </w:tc>
        <w:tc>
          <w:tcPr>
            <w:tcW w:type="dxa" w:w="6360"/>
            <w:tcMar>
              <w:top w:type="dxa" w:w="60"/>
              <w:left w:type="dxa" w:w="100"/>
              <w:bottom w:type="dxa" w:w="60"/>
              <w:right w:type="dxa" w:w="100"/>
            </w:tcMar>
          </w:tcPr>
          <w:p>
            <w:r>
              <w:rPr>
                <w:b w:val="false"/>
                <w:bCs w:val="false"/>
                <w:color w:val="1a1a1a"/>
                <w:sz w:val="19"/>
                <w:szCs w:val="19"/>
              </w:rPr>
              <w:t xml:space="preserve">Web Development, Graphic Design, Digital Marketing, +7 more</w:t>
            </w:r>
          </w:p>
        </w:tc>
      </w:tr>
    </w:tbl>
    <w:p>
      <w:pPr>
        <w:spacing w:after="120"/>
      </w:pPr>
      <w:r>
        <w:rPr>
          <w:color w:val="555555"/>
          <w:sz w:val="21"/>
          <w:szCs w:val="21"/>
        </w:rPr>
        <w:t xml:space="preserve">The file is transactional (BEGIN/COMMIT) and safe to re-run (uses IF NOT EXISTS / ON CONFLICT DO NOTHING). It lives in the backend project root and in the outputs folder.</w:t>
      </w:r>
    </w:p>
    <w:p>
      <w:pPr>
        <w:pStyle w:val="Heading1"/>
        <w:spacing w:after="120" w:before="240"/>
      </w:pPr>
      <w:r>
        <w:rPr>
          <w:b/>
          <w:bCs/>
          <w:color w:val="e84545"/>
        </w:rPr>
        <w:t xml:space="preserve">8. Build &amp; Verification</w:t>
      </w:r>
    </w:p>
    <w:p>
      <w:pPr>
        <w:pStyle w:val="ListParagraph"/>
        <w:numPr>
          <w:ilvl w:val="0"/>
          <w:numId w:val="1"/>
        </w:numPr>
        <w:spacing w:after="60"/>
      </w:pPr>
      <w:r>
        <w:rPr>
          <w:b/>
          <w:bCs/>
          <w:color w:val="1a1a1a"/>
          <w:sz w:val="21"/>
          <w:szCs w:val="21"/>
        </w:rPr>
        <w:t xml:space="preserve">Frontend (tsc --noEmit): PASS —</w:t>
      </w:r>
      <w:r>
        <w:rPr>
          <w:color w:val="555555"/>
          <w:sz w:val="21"/>
          <w:szCs w:val="21"/>
        </w:rPr>
        <w:t xml:space="preserve">  the entire web app type-checks cleanly with no errors.</w:t>
      </w:r>
    </w:p>
    <w:p>
      <w:pPr>
        <w:pStyle w:val="ListParagraph"/>
        <w:numPr>
          <w:ilvl w:val="0"/>
          <w:numId w:val="1"/>
        </w:numPr>
        <w:spacing w:after="60"/>
      </w:pPr>
      <w:r>
        <w:rPr>
          <w:b/>
          <w:bCs/>
          <w:color w:val="1a1a1a"/>
          <w:sz w:val="21"/>
          <w:szCs w:val="21"/>
        </w:rPr>
        <w:t xml:space="preserve">Backend syntax + load: PASS —</w:t>
      </w:r>
      <w:r>
        <w:rPr>
          <w:color w:val="555555"/>
          <w:sz w:val="21"/>
          <w:szCs w:val="21"/>
        </w:rPr>
        <w:t xml:space="preserve">  all new and modified controllers, routes, models and helpers pass Node syntax checks; the model layer, route tree and Swagger spec all load successfully.</w:t>
      </w:r>
    </w:p>
    <w:p>
      <w:pPr>
        <w:pStyle w:val="ListParagraph"/>
        <w:numPr>
          <w:ilvl w:val="0"/>
          <w:numId w:val="1"/>
        </w:numPr>
        <w:spacing w:after="60"/>
      </w:pPr>
      <w:r>
        <w:rPr>
          <w:b/>
          <w:bCs/>
          <w:color w:val="1a1a1a"/>
          <w:sz w:val="21"/>
          <w:szCs w:val="21"/>
        </w:rPr>
        <w:t xml:space="preserve">Production build:</w:t>
      </w:r>
      <w:r>
        <w:rPr>
          <w:color w:val="555555"/>
          <w:sz w:val="21"/>
          <w:szCs w:val="21"/>
        </w:rPr>
        <w:t xml:space="preserve">  during verification the production compiler successfully emitted every route group (admin, auth, buyer, seller). A full "next build" could not be run to completion inside the sandbox due to a native-binary limitation of that environment; it should be run once on the project machine to produce the final bundle. This is an environment constraint, not a code issue — the type-check and per-route compilation both pass.</w:t>
      </w:r>
    </w:p>
    <w:p>
      <w:pPr>
        <w:pStyle w:val="Heading1"/>
        <w:spacing w:after="120" w:before="240"/>
      </w:pPr>
      <w:r>
        <w:rPr>
          <w:b/>
          <w:bCs/>
          <w:color w:val="e84545"/>
        </w:rPr>
        <w:t xml:space="preserve">9. Deferred / Future Modules</w:t>
      </w:r>
    </w:p>
    <w:p>
      <w:pPr>
        <w:spacing w:after="120"/>
      </w:pPr>
      <w:r>
        <w:rPr>
          <w:color w:val="555555"/>
          <w:sz w:val="21"/>
          <w:szCs w:val="21"/>
        </w:rPr>
        <w:t xml:space="preserve">The following remain as dedicated future modules (as agreed). They currently exist as front-end screens only and are clearly non-persistent:</w:t>
      </w:r>
    </w:p>
    <w:p>
      <w:pPr>
        <w:pStyle w:val="ListParagraph"/>
        <w:numPr>
          <w:ilvl w:val="0"/>
          <w:numId w:val="1"/>
        </w:numPr>
        <w:spacing w:after="60"/>
      </w:pPr>
      <w:r>
        <w:rPr>
          <w:b/>
          <w:bCs/>
          <w:color w:val="1a1a1a"/>
          <w:sz w:val="21"/>
          <w:szCs w:val="21"/>
        </w:rPr>
        <w:t xml:space="preserve">Wallet &amp; Payments:</w:t>
      </w:r>
      <w:r>
        <w:rPr>
          <w:color w:val="555555"/>
          <w:sz w:val="21"/>
          <w:szCs w:val="21"/>
        </w:rPr>
        <w:t xml:space="preserve">  Stripe integration, wallet balances and withdrawal flows. Large module requiring a payment gateway.</w:t>
      </w:r>
    </w:p>
    <w:p>
      <w:pPr>
        <w:pStyle w:val="ListParagraph"/>
        <w:numPr>
          <w:ilvl w:val="0"/>
          <w:numId w:val="1"/>
        </w:numPr>
        <w:spacing w:after="60"/>
      </w:pPr>
      <w:r>
        <w:rPr>
          <w:b/>
          <w:bCs/>
          <w:color w:val="1a1a1a"/>
          <w:sz w:val="21"/>
          <w:szCs w:val="21"/>
        </w:rPr>
        <w:t xml:space="preserve">Chat / Messaging:</w:t>
      </w:r>
      <w:r>
        <w:rPr>
          <w:color w:val="555555"/>
          <w:sz w:val="21"/>
          <w:szCs w:val="21"/>
        </w:rPr>
        <w:t xml:space="preserve">  real-time messaging between buyers and sellers and admin support chat. Requires a WebSocket layer.</w:t>
      </w:r>
    </w:p>
    <w:p>
      <w:pPr>
        <w:pStyle w:val="ListParagraph"/>
        <w:numPr>
          <w:ilvl w:val="0"/>
          <w:numId w:val="1"/>
        </w:numPr>
        <w:spacing w:after="60"/>
      </w:pPr>
      <w:r>
        <w:rPr>
          <w:b/>
          <w:bCs/>
          <w:color w:val="1a1a1a"/>
          <w:sz w:val="21"/>
          <w:szCs w:val="21"/>
        </w:rPr>
        <w:t xml:space="preserve">Admin CMS / Banners / Broadcast:</w:t>
      </w:r>
      <w:r>
        <w:rPr>
          <w:color w:val="555555"/>
          <w:sz w:val="21"/>
          <w:szCs w:val="21"/>
        </w:rPr>
        <w:t xml:space="preserve">  banners, static CMS pages and broadcast push. Admin content-management, not built this pass.</w:t>
      </w:r>
    </w:p>
    <w:p>
      <w:pPr>
        <w:pStyle w:val="ListParagraph"/>
        <w:numPr>
          <w:ilvl w:val="0"/>
          <w:numId w:val="1"/>
        </w:numPr>
        <w:spacing w:after="60"/>
      </w:pPr>
      <w:r>
        <w:rPr>
          <w:b/>
          <w:bCs/>
          <w:color w:val="1a1a1a"/>
          <w:sz w:val="21"/>
          <w:szCs w:val="21"/>
        </w:rPr>
        <w:t xml:space="preserve">Connects purchase:</w:t>
      </w:r>
      <w:r>
        <w:rPr>
          <w:color w:val="555555"/>
          <w:sz w:val="21"/>
          <w:szCs w:val="21"/>
        </w:rPr>
        <w:t xml:space="preserve">  online connect purchase via payment gateway is deferred with the Wallet module; admin crediting and bid deduction are live now.</w:t>
      </w:r>
    </w:p>
    <w:p>
      <w:pPr>
        <w:spacing w:after="120"/>
      </w:pPr>
      <w:r>
        <w:rPr>
          <w:i/>
          <w:iCs/>
          <w:color w:val="555555"/>
          <w:sz w:val="21"/>
          <w:szCs w:val="21"/>
        </w:rPr>
        <w:t xml:space="preserve">All testing phases (unit, integration, E2E, UAT, security, performance) remain pending, consistent with the earlier module status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2026-07-21T13:10:47.830Z</dcterms:created>
  <dcterms:modified xsi:type="dcterms:W3CDTF">2026-07-21T13:10:47.831Z</dcterms:modified>
</cp:coreProperties>
</file>

<file path=docProps/custom.xml><?xml version="1.0" encoding="utf-8"?>
<Properties xmlns="http://schemas.openxmlformats.org/officeDocument/2006/custom-properties" xmlns:vt="http://schemas.openxmlformats.org/officeDocument/2006/docPropsVTypes"/>
</file>