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library_management;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Books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bookId int auto_increment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title varchar(100) NOT NULL unique,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author varchar(50)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publishedYear int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category varchar(50) NOT NULL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Readers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readerId int auto_increment primary key,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name varchar(50)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birthDate date NOT NULL check (year(birthDate) &lt; 2025),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address varchar(100),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phoneNumber varchar(11)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Borrows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borrowId int auto_increment primary key,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borrowDate date NULL check (borrowDate &lt;= '2025-06-11'),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returnDate date,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bookId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readerId int,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FOREIGN KEY (bookId) REFERENCES Books(bookId),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FOREIGN KEY (readerId) REFERENCES Readers(readerId)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