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insert into books (title, author, publishedYear, category)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values  ("Tôi thấy hoa vàng trên cỏ xanh", "Nguyễn Nhật Ánh", 2010, "Giáo dục"),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("Cho tôi xin một vé đi tuổi thơ", "Nguyễn Nhật Ánh", 2007, "Thiếu nhi"),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("Dế mèn phiêu lưu ký", "Tô Hoài", 1941, "Thiếu nhi"),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("Tuổi thơ dữ dội", "Phùng Quán", 1988, "Chiến tranh"),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("Nỗi buồn chiến tranh", "Bảo Ninh", 1990, "Chiến tranh"),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("Cánh đồng bất tận", "Nguyễn Ngọc Tư", 2005, "Xã hội"),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("Tắt đèn", "Ngô Tất Tố", 1939, "Hiện thực"),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("Số đỏ", "Vũ Trọng Phụng", 1936, "Châm biếm"),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("Lão Hạc", "Nam Cao", 1943, "Hiện thực"),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("Chiếc lược ngà", "Nguyễn Quang Sáng", 1966, "Tình cảm");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update books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set author = "Nguyễn Văn A" where bookId = 1;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select * from books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where title like "A%" or title like "B%";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